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7A37" w14:textId="24F88CA0" w:rsidR="00DD7BE9" w:rsidRPr="007E08F7" w:rsidRDefault="00B7503C" w:rsidP="00597A62">
      <w:pPr>
        <w:pStyle w:val="Tytu"/>
        <w:spacing w:before="3480" w:line="288" w:lineRule="auto"/>
        <w:rPr>
          <w:noProof/>
          <w:color w:val="0F4761" w:themeColor="accent1" w:themeShade="BF"/>
          <w:spacing w:val="32"/>
          <w:sz w:val="60"/>
          <w:szCs w:val="60"/>
        </w:rPr>
      </w:pPr>
      <w:r w:rsidRPr="007E08F7">
        <w:rPr>
          <w:noProof/>
          <w:color w:val="0F4761" w:themeColor="accent1" w:themeShade="BF"/>
          <w:spacing w:val="32"/>
          <w:sz w:val="60"/>
          <w:szCs w:val="60"/>
        </w:rPr>
        <w:t>Strategia Rozwoju</w:t>
      </w:r>
      <w:r w:rsidR="00597A62" w:rsidRPr="007E08F7">
        <w:rPr>
          <w:noProof/>
          <w:color w:val="0F4761" w:themeColor="accent1" w:themeShade="BF"/>
          <w:spacing w:val="32"/>
          <w:sz w:val="60"/>
          <w:szCs w:val="60"/>
        </w:rPr>
        <w:br/>
      </w:r>
      <w:r w:rsidRPr="007E08F7">
        <w:rPr>
          <w:noProof/>
          <w:color w:val="0F4761" w:themeColor="accent1" w:themeShade="BF"/>
          <w:spacing w:val="32"/>
          <w:sz w:val="60"/>
          <w:szCs w:val="60"/>
        </w:rPr>
        <w:t>Woj</w:t>
      </w:r>
      <w:r w:rsidR="00B86DE4" w:rsidRPr="007E08F7">
        <w:rPr>
          <w:noProof/>
          <w:color w:val="0F4761" w:themeColor="accent1" w:themeShade="BF"/>
          <w:spacing w:val="32"/>
          <w:sz w:val="60"/>
          <w:szCs w:val="60"/>
        </w:rPr>
        <w:t>e</w:t>
      </w:r>
      <w:r w:rsidRPr="007E08F7">
        <w:rPr>
          <w:noProof/>
          <w:color w:val="0F4761" w:themeColor="accent1" w:themeShade="BF"/>
          <w:spacing w:val="32"/>
          <w:sz w:val="60"/>
          <w:szCs w:val="60"/>
        </w:rPr>
        <w:t>wództwa Pomorskiego 2035</w:t>
      </w:r>
    </w:p>
    <w:p w14:paraId="0F9B35A7" w14:textId="77777777" w:rsidR="000D26C2" w:rsidRDefault="006B5114" w:rsidP="00DF3C3B">
      <w:pPr>
        <w:pStyle w:val="Podtytu"/>
        <w:spacing w:before="480" w:after="6480" w:line="288" w:lineRule="auto"/>
        <w:rPr>
          <w:rFonts w:asciiTheme="minorHAnsi" w:hAnsiTheme="minorHAnsi"/>
          <w:color w:val="auto"/>
          <w:spacing w:val="24"/>
        </w:rPr>
      </w:pPr>
      <w:r w:rsidRPr="007E08F7">
        <w:rPr>
          <w:rFonts w:asciiTheme="minorHAnsi" w:hAnsiTheme="minorHAnsi"/>
          <w:color w:val="auto"/>
          <w:spacing w:val="24"/>
        </w:rPr>
        <w:t>P</w:t>
      </w:r>
      <w:r w:rsidR="00391A43" w:rsidRPr="007E08F7">
        <w:rPr>
          <w:rFonts w:asciiTheme="minorHAnsi" w:hAnsiTheme="minorHAnsi"/>
          <w:color w:val="auto"/>
          <w:spacing w:val="24"/>
        </w:rPr>
        <w:t>rojekt do konsultacji</w:t>
      </w:r>
    </w:p>
    <w:p w14:paraId="25B9319A" w14:textId="2746E0B3" w:rsidR="00EA5B70" w:rsidRPr="00963AA3" w:rsidRDefault="00393FFE" w:rsidP="00804AA0">
      <w:pPr>
        <w:pStyle w:val="Podtytu"/>
        <w:spacing w:before="480" w:after="120" w:line="288" w:lineRule="auto"/>
        <w:rPr>
          <w:b w:val="0"/>
          <w:bCs/>
          <w:color w:val="auto"/>
          <w:spacing w:val="20"/>
          <w:sz w:val="24"/>
          <w:szCs w:val="24"/>
        </w:rPr>
      </w:pPr>
      <w:r w:rsidRPr="00963AA3">
        <w:rPr>
          <w:rFonts w:asciiTheme="minorHAnsi" w:hAnsiTheme="minorHAnsi"/>
          <w:b w:val="0"/>
          <w:bCs/>
          <w:color w:val="auto"/>
          <w:spacing w:val="20"/>
          <w:sz w:val="24"/>
          <w:szCs w:val="24"/>
        </w:rPr>
        <w:t>Dokument przyjęty u</w:t>
      </w:r>
      <w:r w:rsidR="000D26C2" w:rsidRPr="00963AA3">
        <w:rPr>
          <w:rFonts w:asciiTheme="minorHAnsi" w:hAnsiTheme="minorHAnsi"/>
          <w:b w:val="0"/>
          <w:bCs/>
          <w:color w:val="auto"/>
          <w:spacing w:val="20"/>
          <w:sz w:val="24"/>
          <w:szCs w:val="24"/>
        </w:rPr>
        <w:t>chwał</w:t>
      </w:r>
      <w:r w:rsidRPr="00963AA3">
        <w:rPr>
          <w:rFonts w:asciiTheme="minorHAnsi" w:hAnsiTheme="minorHAnsi"/>
          <w:b w:val="0"/>
          <w:bCs/>
          <w:color w:val="auto"/>
          <w:spacing w:val="20"/>
          <w:sz w:val="24"/>
          <w:szCs w:val="24"/>
        </w:rPr>
        <w:t>ą</w:t>
      </w:r>
      <w:r w:rsidR="00DF3C3B" w:rsidRPr="00963AA3">
        <w:rPr>
          <w:rFonts w:asciiTheme="minorHAnsi" w:hAnsiTheme="minorHAnsi"/>
          <w:b w:val="0"/>
          <w:bCs/>
          <w:color w:val="auto"/>
          <w:spacing w:val="20"/>
          <w:sz w:val="24"/>
          <w:szCs w:val="24"/>
        </w:rPr>
        <w:t xml:space="preserve"> </w:t>
      </w:r>
      <w:r w:rsidR="004B3D3E" w:rsidRPr="00963AA3">
        <w:rPr>
          <w:rFonts w:asciiTheme="minorHAnsi" w:hAnsiTheme="minorHAnsi"/>
          <w:b w:val="0"/>
          <w:bCs/>
          <w:color w:val="auto"/>
          <w:spacing w:val="20"/>
          <w:sz w:val="24"/>
          <w:szCs w:val="24"/>
        </w:rPr>
        <w:t xml:space="preserve">numer </w:t>
      </w:r>
      <w:r w:rsidR="000D26C2" w:rsidRPr="00963AA3">
        <w:rPr>
          <w:rFonts w:asciiTheme="minorHAnsi" w:hAnsiTheme="minorHAnsi"/>
          <w:b w:val="0"/>
          <w:bCs/>
          <w:color w:val="auto"/>
          <w:spacing w:val="20"/>
          <w:sz w:val="24"/>
          <w:szCs w:val="24"/>
        </w:rPr>
        <w:t>1200</w:t>
      </w:r>
      <w:r w:rsidR="00DF3C3B" w:rsidRPr="00963AA3">
        <w:rPr>
          <w:rFonts w:asciiTheme="minorHAnsi" w:hAnsiTheme="minorHAnsi"/>
          <w:b w:val="0"/>
          <w:bCs/>
          <w:color w:val="auto"/>
          <w:spacing w:val="20"/>
          <w:sz w:val="24"/>
          <w:szCs w:val="24"/>
        </w:rPr>
        <w:t>/</w:t>
      </w:r>
      <w:r w:rsidR="000D26C2" w:rsidRPr="00963AA3">
        <w:rPr>
          <w:rFonts w:asciiTheme="minorHAnsi" w:hAnsiTheme="minorHAnsi"/>
          <w:b w:val="0"/>
          <w:bCs/>
          <w:color w:val="auto"/>
          <w:spacing w:val="20"/>
          <w:sz w:val="24"/>
          <w:szCs w:val="24"/>
        </w:rPr>
        <w:t>221</w:t>
      </w:r>
      <w:r w:rsidR="00DF3C3B" w:rsidRPr="00963AA3">
        <w:rPr>
          <w:rFonts w:asciiTheme="minorHAnsi" w:hAnsiTheme="minorHAnsi"/>
          <w:b w:val="0"/>
          <w:bCs/>
          <w:color w:val="auto"/>
          <w:spacing w:val="20"/>
          <w:sz w:val="24"/>
          <w:szCs w:val="24"/>
        </w:rPr>
        <w:t>/</w:t>
      </w:r>
      <w:r w:rsidR="000D26C2" w:rsidRPr="00963AA3">
        <w:rPr>
          <w:rFonts w:asciiTheme="minorHAnsi" w:hAnsiTheme="minorHAnsi"/>
          <w:b w:val="0"/>
          <w:bCs/>
          <w:color w:val="auto"/>
          <w:spacing w:val="20"/>
          <w:sz w:val="24"/>
          <w:szCs w:val="24"/>
        </w:rPr>
        <w:t>26</w:t>
      </w:r>
      <w:r w:rsidR="00DF3C3B" w:rsidRPr="00963AA3">
        <w:rPr>
          <w:rFonts w:asciiTheme="minorHAnsi" w:hAnsiTheme="minorHAnsi"/>
          <w:b w:val="0"/>
          <w:bCs/>
          <w:color w:val="auto"/>
          <w:spacing w:val="20"/>
          <w:sz w:val="24"/>
          <w:szCs w:val="24"/>
        </w:rPr>
        <w:t xml:space="preserve"> Zarządu Województwa Pomorskiego </w:t>
      </w:r>
      <w:r w:rsidR="004B3D3E" w:rsidRPr="00963AA3">
        <w:rPr>
          <w:rFonts w:asciiTheme="minorHAnsi" w:hAnsiTheme="minorHAnsi"/>
          <w:b w:val="0"/>
          <w:bCs/>
          <w:color w:val="auto"/>
          <w:spacing w:val="20"/>
          <w:sz w:val="24"/>
          <w:szCs w:val="24"/>
        </w:rPr>
        <w:t>z dnia </w:t>
      </w:r>
      <w:r w:rsidR="000D26C2" w:rsidRPr="00963AA3">
        <w:rPr>
          <w:rFonts w:asciiTheme="minorHAnsi" w:hAnsiTheme="minorHAnsi"/>
          <w:b w:val="0"/>
          <w:bCs/>
          <w:color w:val="auto"/>
          <w:spacing w:val="20"/>
          <w:sz w:val="24"/>
          <w:szCs w:val="24"/>
        </w:rPr>
        <w:t>8</w:t>
      </w:r>
      <w:r w:rsidR="004B3D3E" w:rsidRPr="00963AA3">
        <w:rPr>
          <w:rFonts w:asciiTheme="minorHAnsi" w:hAnsiTheme="minorHAnsi"/>
          <w:b w:val="0"/>
          <w:bCs/>
          <w:color w:val="auto"/>
          <w:spacing w:val="20"/>
          <w:sz w:val="24"/>
          <w:szCs w:val="24"/>
        </w:rPr>
        <w:t xml:space="preserve"> września 20</w:t>
      </w:r>
      <w:r w:rsidR="000D26C2" w:rsidRPr="00963AA3">
        <w:rPr>
          <w:rFonts w:asciiTheme="minorHAnsi" w:hAnsiTheme="minorHAnsi"/>
          <w:b w:val="0"/>
          <w:bCs/>
          <w:color w:val="auto"/>
          <w:spacing w:val="20"/>
          <w:sz w:val="24"/>
          <w:szCs w:val="24"/>
        </w:rPr>
        <w:t>26</w:t>
      </w:r>
      <w:r w:rsidR="009D0904" w:rsidRPr="00963AA3">
        <w:rPr>
          <w:rFonts w:asciiTheme="minorHAnsi" w:hAnsiTheme="minorHAnsi"/>
          <w:b w:val="0"/>
          <w:bCs/>
          <w:color w:val="auto"/>
          <w:spacing w:val="20"/>
          <w:sz w:val="24"/>
          <w:szCs w:val="24"/>
        </w:rPr>
        <w:t xml:space="preserve"> r.</w:t>
      </w:r>
      <w:r w:rsidR="00EA5B70" w:rsidRPr="00963AA3">
        <w:rPr>
          <w:rFonts w:asciiTheme="minorHAnsi" w:hAnsiTheme="minorHAnsi"/>
          <w:b w:val="0"/>
          <w:bCs/>
          <w:color w:val="auto"/>
          <w:spacing w:val="20"/>
          <w:sz w:val="24"/>
          <w:szCs w:val="24"/>
        </w:rPr>
        <w:br w:type="page"/>
      </w:r>
    </w:p>
    <w:sdt>
      <w:sdtPr>
        <w:rPr>
          <w:rFonts w:ascii="Aptos" w:hAnsi="Aptos" w:cs="Calibri"/>
          <w:kern w:val="2"/>
          <w:lang w:val="pl-PL"/>
          <w14:ligatures w14:val="standardContextual"/>
        </w:rPr>
        <w:id w:val="897171597"/>
        <w:docPartObj>
          <w:docPartGallery w:val="Table of Contents"/>
          <w:docPartUnique/>
        </w:docPartObj>
      </w:sdtPr>
      <w:sdtEndPr>
        <w:rPr>
          <w:b/>
          <w:bCs/>
        </w:rPr>
      </w:sdtEndPr>
      <w:sdtContent>
        <w:p w14:paraId="493EF9C5" w14:textId="35871853" w:rsidR="000150EA" w:rsidRPr="00016C34" w:rsidRDefault="000150EA" w:rsidP="005E7953">
          <w:pPr>
            <w:pStyle w:val="Compact"/>
            <w:spacing w:before="120" w:after="120" w:line="288" w:lineRule="auto"/>
            <w:rPr>
              <w:color w:val="0F4761" w:themeColor="accent1" w:themeShade="BF"/>
              <w:sz w:val="40"/>
              <w:szCs w:val="40"/>
              <w:lang w:val="pl-PL"/>
            </w:rPr>
          </w:pPr>
          <w:r w:rsidRPr="00016C34">
            <w:rPr>
              <w:color w:val="0F4761" w:themeColor="accent1" w:themeShade="BF"/>
              <w:sz w:val="40"/>
              <w:szCs w:val="40"/>
              <w:lang w:val="pl-PL"/>
            </w:rPr>
            <w:t>Spis treści</w:t>
          </w:r>
        </w:p>
        <w:p w14:paraId="1616E9B1" w14:textId="38DA724B" w:rsidR="00016C34" w:rsidRDefault="00B32464">
          <w:pPr>
            <w:pStyle w:val="Spistreci1"/>
            <w:rPr>
              <w:rFonts w:asciiTheme="minorHAnsi" w:eastAsiaTheme="minorEastAsia" w:hAnsiTheme="minorHAnsi" w:cstheme="minorBidi"/>
              <w:noProof/>
              <w:color w:val="auto"/>
              <w:lang w:eastAsia="pl-PL"/>
            </w:rPr>
          </w:pPr>
          <w:r w:rsidRPr="007E08F7">
            <w:fldChar w:fldCharType="begin"/>
          </w:r>
          <w:r w:rsidRPr="007E08F7">
            <w:instrText xml:space="preserve"> TOC \o "1-3" \h \z \u </w:instrText>
          </w:r>
          <w:r w:rsidRPr="007E08F7">
            <w:fldChar w:fldCharType="separate"/>
          </w:r>
          <w:hyperlink w:anchor="_Toc239772028" w:history="1">
            <w:r w:rsidR="00016C34" w:rsidRPr="003A564F">
              <w:rPr>
                <w:rStyle w:val="Hipercze"/>
                <w:noProof/>
              </w:rPr>
              <w:t>I.</w:t>
            </w:r>
            <w:r w:rsidR="00016C34">
              <w:rPr>
                <w:rFonts w:asciiTheme="minorHAnsi" w:eastAsiaTheme="minorEastAsia" w:hAnsiTheme="minorHAnsi" w:cstheme="minorBidi"/>
                <w:noProof/>
                <w:color w:val="auto"/>
                <w:lang w:eastAsia="pl-PL"/>
              </w:rPr>
              <w:tab/>
            </w:r>
            <w:r w:rsidR="00016C34" w:rsidRPr="003A564F">
              <w:rPr>
                <w:rStyle w:val="Hipercze"/>
                <w:noProof/>
              </w:rPr>
              <w:t>Wnioski z diagnozy sytuacji gospodarczej, społecznej, klimatyczno-środowiskowej i przestrzennej województwa pomorskiego</w:t>
            </w:r>
            <w:r w:rsidR="00016C34">
              <w:rPr>
                <w:noProof/>
                <w:webHidden/>
              </w:rPr>
              <w:tab/>
            </w:r>
            <w:r w:rsidR="00016C34">
              <w:rPr>
                <w:noProof/>
                <w:webHidden/>
              </w:rPr>
              <w:fldChar w:fldCharType="begin"/>
            </w:r>
            <w:r w:rsidR="00016C34">
              <w:rPr>
                <w:noProof/>
                <w:webHidden/>
              </w:rPr>
              <w:instrText xml:space="preserve"> PAGEREF _Toc239772028 \h </w:instrText>
            </w:r>
            <w:r w:rsidR="00016C34">
              <w:rPr>
                <w:noProof/>
                <w:webHidden/>
              </w:rPr>
            </w:r>
            <w:r w:rsidR="00016C34">
              <w:rPr>
                <w:noProof/>
                <w:webHidden/>
              </w:rPr>
              <w:fldChar w:fldCharType="separate"/>
            </w:r>
            <w:r w:rsidR="00016C34">
              <w:rPr>
                <w:noProof/>
                <w:webHidden/>
              </w:rPr>
              <w:t>5</w:t>
            </w:r>
            <w:r w:rsidR="00016C34">
              <w:rPr>
                <w:noProof/>
                <w:webHidden/>
              </w:rPr>
              <w:fldChar w:fldCharType="end"/>
            </w:r>
          </w:hyperlink>
        </w:p>
        <w:p w14:paraId="080FDC9B" w14:textId="7A5303EA" w:rsidR="00016C34" w:rsidRDefault="00016C34">
          <w:pPr>
            <w:pStyle w:val="Spistreci2"/>
            <w:rPr>
              <w:rFonts w:asciiTheme="minorHAnsi" w:eastAsiaTheme="minorEastAsia" w:hAnsiTheme="minorHAnsi" w:cstheme="minorBidi"/>
              <w:noProof/>
              <w:color w:val="auto"/>
              <w:lang w:eastAsia="pl-PL"/>
            </w:rPr>
          </w:pPr>
          <w:hyperlink w:anchor="_Toc239772029" w:history="1">
            <w:r w:rsidRPr="003A564F">
              <w:rPr>
                <w:rStyle w:val="Hipercze"/>
                <w:noProof/>
              </w:rPr>
              <w:t>Uwarunkowania globalne i krajowe</w:t>
            </w:r>
            <w:r>
              <w:rPr>
                <w:noProof/>
                <w:webHidden/>
              </w:rPr>
              <w:tab/>
            </w:r>
            <w:r>
              <w:rPr>
                <w:noProof/>
                <w:webHidden/>
              </w:rPr>
              <w:fldChar w:fldCharType="begin"/>
            </w:r>
            <w:r>
              <w:rPr>
                <w:noProof/>
                <w:webHidden/>
              </w:rPr>
              <w:instrText xml:space="preserve"> PAGEREF _Toc239772029 \h </w:instrText>
            </w:r>
            <w:r>
              <w:rPr>
                <w:noProof/>
                <w:webHidden/>
              </w:rPr>
            </w:r>
            <w:r>
              <w:rPr>
                <w:noProof/>
                <w:webHidden/>
              </w:rPr>
              <w:fldChar w:fldCharType="separate"/>
            </w:r>
            <w:r>
              <w:rPr>
                <w:noProof/>
                <w:webHidden/>
              </w:rPr>
              <w:t>5</w:t>
            </w:r>
            <w:r>
              <w:rPr>
                <w:noProof/>
                <w:webHidden/>
              </w:rPr>
              <w:fldChar w:fldCharType="end"/>
            </w:r>
          </w:hyperlink>
        </w:p>
        <w:p w14:paraId="638EEDB7" w14:textId="30EE0080" w:rsidR="00016C34" w:rsidRDefault="00016C34">
          <w:pPr>
            <w:pStyle w:val="Spistreci2"/>
            <w:rPr>
              <w:rFonts w:asciiTheme="minorHAnsi" w:eastAsiaTheme="minorEastAsia" w:hAnsiTheme="minorHAnsi" w:cstheme="minorBidi"/>
              <w:noProof/>
              <w:color w:val="auto"/>
              <w:lang w:eastAsia="pl-PL"/>
            </w:rPr>
          </w:pPr>
          <w:hyperlink w:anchor="_Toc239772030" w:history="1">
            <w:r w:rsidRPr="003A564F">
              <w:rPr>
                <w:rStyle w:val="Hipercze"/>
                <w:noProof/>
              </w:rPr>
              <w:t>Sytuacja gospodarcza Pomorza</w:t>
            </w:r>
            <w:r>
              <w:rPr>
                <w:noProof/>
                <w:webHidden/>
              </w:rPr>
              <w:tab/>
            </w:r>
            <w:r>
              <w:rPr>
                <w:noProof/>
                <w:webHidden/>
              </w:rPr>
              <w:fldChar w:fldCharType="begin"/>
            </w:r>
            <w:r>
              <w:rPr>
                <w:noProof/>
                <w:webHidden/>
              </w:rPr>
              <w:instrText xml:space="preserve"> PAGEREF _Toc239772030 \h </w:instrText>
            </w:r>
            <w:r>
              <w:rPr>
                <w:noProof/>
                <w:webHidden/>
              </w:rPr>
            </w:r>
            <w:r>
              <w:rPr>
                <w:noProof/>
                <w:webHidden/>
              </w:rPr>
              <w:fldChar w:fldCharType="separate"/>
            </w:r>
            <w:r>
              <w:rPr>
                <w:noProof/>
                <w:webHidden/>
              </w:rPr>
              <w:t>7</w:t>
            </w:r>
            <w:r>
              <w:rPr>
                <w:noProof/>
                <w:webHidden/>
              </w:rPr>
              <w:fldChar w:fldCharType="end"/>
            </w:r>
          </w:hyperlink>
        </w:p>
        <w:p w14:paraId="7D42634A" w14:textId="53A612FF" w:rsidR="00016C34" w:rsidRDefault="00016C34">
          <w:pPr>
            <w:pStyle w:val="Spistreci3"/>
            <w:rPr>
              <w:rFonts w:asciiTheme="minorHAnsi" w:eastAsiaTheme="minorEastAsia" w:hAnsiTheme="minorHAnsi" w:cstheme="minorBidi"/>
              <w:noProof/>
              <w:color w:val="auto"/>
              <w:lang w:eastAsia="pl-PL"/>
            </w:rPr>
          </w:pPr>
          <w:hyperlink w:anchor="_Toc239772031" w:history="1">
            <w:r w:rsidRPr="003A564F">
              <w:rPr>
                <w:rStyle w:val="Hipercze"/>
                <w:rFonts w:eastAsia="Aptos"/>
                <w:noProof/>
              </w:rPr>
              <w:t>Gospodarka w procesie transformacji</w:t>
            </w:r>
            <w:r>
              <w:rPr>
                <w:noProof/>
                <w:webHidden/>
              </w:rPr>
              <w:tab/>
            </w:r>
            <w:r>
              <w:rPr>
                <w:noProof/>
                <w:webHidden/>
              </w:rPr>
              <w:fldChar w:fldCharType="begin"/>
            </w:r>
            <w:r>
              <w:rPr>
                <w:noProof/>
                <w:webHidden/>
              </w:rPr>
              <w:instrText xml:space="preserve"> PAGEREF _Toc239772031 \h </w:instrText>
            </w:r>
            <w:r>
              <w:rPr>
                <w:noProof/>
                <w:webHidden/>
              </w:rPr>
            </w:r>
            <w:r>
              <w:rPr>
                <w:noProof/>
                <w:webHidden/>
              </w:rPr>
              <w:fldChar w:fldCharType="separate"/>
            </w:r>
            <w:r>
              <w:rPr>
                <w:noProof/>
                <w:webHidden/>
              </w:rPr>
              <w:t>7</w:t>
            </w:r>
            <w:r>
              <w:rPr>
                <w:noProof/>
                <w:webHidden/>
              </w:rPr>
              <w:fldChar w:fldCharType="end"/>
            </w:r>
          </w:hyperlink>
        </w:p>
        <w:p w14:paraId="76E7F79B" w14:textId="4B54C27A" w:rsidR="00016C34" w:rsidRDefault="00016C34">
          <w:pPr>
            <w:pStyle w:val="Spistreci3"/>
            <w:rPr>
              <w:rFonts w:asciiTheme="minorHAnsi" w:eastAsiaTheme="minorEastAsia" w:hAnsiTheme="minorHAnsi" w:cstheme="minorBidi"/>
              <w:noProof/>
              <w:color w:val="auto"/>
              <w:lang w:eastAsia="pl-PL"/>
            </w:rPr>
          </w:pPr>
          <w:hyperlink w:anchor="_Toc239772032" w:history="1">
            <w:r w:rsidRPr="003A564F">
              <w:rPr>
                <w:rStyle w:val="Hipercze"/>
                <w:rFonts w:eastAsia="Times New Roman"/>
                <w:noProof/>
                <w:lang w:eastAsia="pl-PL"/>
              </w:rPr>
              <w:t>Transformacja i bezpieczeństwo energetyczne</w:t>
            </w:r>
            <w:r>
              <w:rPr>
                <w:noProof/>
                <w:webHidden/>
              </w:rPr>
              <w:tab/>
            </w:r>
            <w:r>
              <w:rPr>
                <w:noProof/>
                <w:webHidden/>
              </w:rPr>
              <w:fldChar w:fldCharType="begin"/>
            </w:r>
            <w:r>
              <w:rPr>
                <w:noProof/>
                <w:webHidden/>
              </w:rPr>
              <w:instrText xml:space="preserve"> PAGEREF _Toc239772032 \h </w:instrText>
            </w:r>
            <w:r>
              <w:rPr>
                <w:noProof/>
                <w:webHidden/>
              </w:rPr>
            </w:r>
            <w:r>
              <w:rPr>
                <w:noProof/>
                <w:webHidden/>
              </w:rPr>
              <w:fldChar w:fldCharType="separate"/>
            </w:r>
            <w:r>
              <w:rPr>
                <w:noProof/>
                <w:webHidden/>
              </w:rPr>
              <w:t>10</w:t>
            </w:r>
            <w:r>
              <w:rPr>
                <w:noProof/>
                <w:webHidden/>
              </w:rPr>
              <w:fldChar w:fldCharType="end"/>
            </w:r>
          </w:hyperlink>
        </w:p>
        <w:p w14:paraId="3C12DA8A" w14:textId="0E1D2113" w:rsidR="00016C34" w:rsidRDefault="00016C34">
          <w:pPr>
            <w:pStyle w:val="Spistreci3"/>
            <w:rPr>
              <w:rFonts w:asciiTheme="minorHAnsi" w:eastAsiaTheme="minorEastAsia" w:hAnsiTheme="minorHAnsi" w:cstheme="minorBidi"/>
              <w:noProof/>
              <w:color w:val="auto"/>
              <w:lang w:eastAsia="pl-PL"/>
            </w:rPr>
          </w:pPr>
          <w:hyperlink w:anchor="_Toc239772033" w:history="1">
            <w:r w:rsidRPr="003A564F">
              <w:rPr>
                <w:rStyle w:val="Hipercze"/>
                <w:rFonts w:eastAsia="Aptos"/>
                <w:noProof/>
              </w:rPr>
              <w:t>Gospodarka odpadami i efektywne wykorzystanie zasobów</w:t>
            </w:r>
            <w:r>
              <w:rPr>
                <w:noProof/>
                <w:webHidden/>
              </w:rPr>
              <w:tab/>
            </w:r>
            <w:r>
              <w:rPr>
                <w:noProof/>
                <w:webHidden/>
              </w:rPr>
              <w:fldChar w:fldCharType="begin"/>
            </w:r>
            <w:r>
              <w:rPr>
                <w:noProof/>
                <w:webHidden/>
              </w:rPr>
              <w:instrText xml:space="preserve"> PAGEREF _Toc239772033 \h </w:instrText>
            </w:r>
            <w:r>
              <w:rPr>
                <w:noProof/>
                <w:webHidden/>
              </w:rPr>
            </w:r>
            <w:r>
              <w:rPr>
                <w:noProof/>
                <w:webHidden/>
              </w:rPr>
              <w:fldChar w:fldCharType="separate"/>
            </w:r>
            <w:r>
              <w:rPr>
                <w:noProof/>
                <w:webHidden/>
              </w:rPr>
              <w:t>13</w:t>
            </w:r>
            <w:r>
              <w:rPr>
                <w:noProof/>
                <w:webHidden/>
              </w:rPr>
              <w:fldChar w:fldCharType="end"/>
            </w:r>
          </w:hyperlink>
        </w:p>
        <w:p w14:paraId="3A56A2E5" w14:textId="74B974EA" w:rsidR="00016C34" w:rsidRDefault="00016C34">
          <w:pPr>
            <w:pStyle w:val="Spistreci3"/>
            <w:rPr>
              <w:rFonts w:asciiTheme="minorHAnsi" w:eastAsiaTheme="minorEastAsia" w:hAnsiTheme="minorHAnsi" w:cstheme="minorBidi"/>
              <w:noProof/>
              <w:color w:val="auto"/>
              <w:lang w:eastAsia="pl-PL"/>
            </w:rPr>
          </w:pPr>
          <w:hyperlink w:anchor="_Toc239772034" w:history="1">
            <w:r w:rsidRPr="003A564F">
              <w:rPr>
                <w:rStyle w:val="Hipercze"/>
                <w:rFonts w:eastAsia="Times New Roman"/>
                <w:noProof/>
                <w:lang w:eastAsia="pl-PL"/>
              </w:rPr>
              <w:t>Cyfryzacja gospodarki i społeczeństwa, zagrożenia cyfrowe</w:t>
            </w:r>
            <w:r>
              <w:rPr>
                <w:noProof/>
                <w:webHidden/>
              </w:rPr>
              <w:tab/>
            </w:r>
            <w:r>
              <w:rPr>
                <w:noProof/>
                <w:webHidden/>
              </w:rPr>
              <w:fldChar w:fldCharType="begin"/>
            </w:r>
            <w:r>
              <w:rPr>
                <w:noProof/>
                <w:webHidden/>
              </w:rPr>
              <w:instrText xml:space="preserve"> PAGEREF _Toc239772034 \h </w:instrText>
            </w:r>
            <w:r>
              <w:rPr>
                <w:noProof/>
                <w:webHidden/>
              </w:rPr>
            </w:r>
            <w:r>
              <w:rPr>
                <w:noProof/>
                <w:webHidden/>
              </w:rPr>
              <w:fldChar w:fldCharType="separate"/>
            </w:r>
            <w:r>
              <w:rPr>
                <w:noProof/>
                <w:webHidden/>
              </w:rPr>
              <w:t>14</w:t>
            </w:r>
            <w:r>
              <w:rPr>
                <w:noProof/>
                <w:webHidden/>
              </w:rPr>
              <w:fldChar w:fldCharType="end"/>
            </w:r>
          </w:hyperlink>
        </w:p>
        <w:p w14:paraId="28B3FEF7" w14:textId="397F53E1" w:rsidR="00016C34" w:rsidRDefault="00016C34">
          <w:pPr>
            <w:pStyle w:val="Spistreci3"/>
            <w:rPr>
              <w:rFonts w:asciiTheme="minorHAnsi" w:eastAsiaTheme="minorEastAsia" w:hAnsiTheme="minorHAnsi" w:cstheme="minorBidi"/>
              <w:noProof/>
              <w:color w:val="auto"/>
              <w:lang w:eastAsia="pl-PL"/>
            </w:rPr>
          </w:pPr>
          <w:hyperlink w:anchor="_Toc239772035" w:history="1">
            <w:r w:rsidRPr="003A564F">
              <w:rPr>
                <w:rStyle w:val="Hipercze"/>
                <w:rFonts w:eastAsia="Times New Roman"/>
                <w:noProof/>
                <w:lang w:eastAsia="pl-PL"/>
              </w:rPr>
              <w:t>Kompetencje i rozwój talentów</w:t>
            </w:r>
            <w:r>
              <w:rPr>
                <w:noProof/>
                <w:webHidden/>
              </w:rPr>
              <w:tab/>
            </w:r>
            <w:r>
              <w:rPr>
                <w:noProof/>
                <w:webHidden/>
              </w:rPr>
              <w:fldChar w:fldCharType="begin"/>
            </w:r>
            <w:r>
              <w:rPr>
                <w:noProof/>
                <w:webHidden/>
              </w:rPr>
              <w:instrText xml:space="preserve"> PAGEREF _Toc239772035 \h </w:instrText>
            </w:r>
            <w:r>
              <w:rPr>
                <w:noProof/>
                <w:webHidden/>
              </w:rPr>
            </w:r>
            <w:r>
              <w:rPr>
                <w:noProof/>
                <w:webHidden/>
              </w:rPr>
              <w:fldChar w:fldCharType="separate"/>
            </w:r>
            <w:r>
              <w:rPr>
                <w:noProof/>
                <w:webHidden/>
              </w:rPr>
              <w:t>15</w:t>
            </w:r>
            <w:r>
              <w:rPr>
                <w:noProof/>
                <w:webHidden/>
              </w:rPr>
              <w:fldChar w:fldCharType="end"/>
            </w:r>
          </w:hyperlink>
        </w:p>
        <w:p w14:paraId="1C49000E" w14:textId="77EF6AA2" w:rsidR="00016C34" w:rsidRDefault="00016C34">
          <w:pPr>
            <w:pStyle w:val="Spistreci3"/>
            <w:rPr>
              <w:rFonts w:asciiTheme="minorHAnsi" w:eastAsiaTheme="minorEastAsia" w:hAnsiTheme="minorHAnsi" w:cstheme="minorBidi"/>
              <w:noProof/>
              <w:color w:val="auto"/>
              <w:lang w:eastAsia="pl-PL"/>
            </w:rPr>
          </w:pPr>
          <w:hyperlink w:anchor="_Toc239772036" w:history="1">
            <w:r w:rsidRPr="003A564F">
              <w:rPr>
                <w:rStyle w:val="Hipercze"/>
                <w:rFonts w:eastAsia="Aptos"/>
                <w:noProof/>
              </w:rPr>
              <w:t>Infrastruktura oraz oferta turystyczna i czasu wolnego</w:t>
            </w:r>
            <w:r>
              <w:rPr>
                <w:noProof/>
                <w:webHidden/>
              </w:rPr>
              <w:tab/>
            </w:r>
            <w:r>
              <w:rPr>
                <w:noProof/>
                <w:webHidden/>
              </w:rPr>
              <w:fldChar w:fldCharType="begin"/>
            </w:r>
            <w:r>
              <w:rPr>
                <w:noProof/>
                <w:webHidden/>
              </w:rPr>
              <w:instrText xml:space="preserve"> PAGEREF _Toc239772036 \h </w:instrText>
            </w:r>
            <w:r>
              <w:rPr>
                <w:noProof/>
                <w:webHidden/>
              </w:rPr>
            </w:r>
            <w:r>
              <w:rPr>
                <w:noProof/>
                <w:webHidden/>
              </w:rPr>
              <w:fldChar w:fldCharType="separate"/>
            </w:r>
            <w:r>
              <w:rPr>
                <w:noProof/>
                <w:webHidden/>
              </w:rPr>
              <w:t>16</w:t>
            </w:r>
            <w:r>
              <w:rPr>
                <w:noProof/>
                <w:webHidden/>
              </w:rPr>
              <w:fldChar w:fldCharType="end"/>
            </w:r>
          </w:hyperlink>
        </w:p>
        <w:p w14:paraId="3793E703" w14:textId="7EA87A90" w:rsidR="00016C34" w:rsidRDefault="00016C34">
          <w:pPr>
            <w:pStyle w:val="Spistreci3"/>
            <w:rPr>
              <w:rFonts w:asciiTheme="minorHAnsi" w:eastAsiaTheme="minorEastAsia" w:hAnsiTheme="minorHAnsi" w:cstheme="minorBidi"/>
              <w:noProof/>
              <w:color w:val="auto"/>
              <w:lang w:eastAsia="pl-PL"/>
            </w:rPr>
          </w:pPr>
          <w:hyperlink w:anchor="_Toc239772037" w:history="1">
            <w:r w:rsidRPr="003A564F">
              <w:rPr>
                <w:rStyle w:val="Hipercze"/>
                <w:rFonts w:eastAsia="Aptos"/>
                <w:noProof/>
              </w:rPr>
              <w:t>Węzeł transportowo-logistyczny</w:t>
            </w:r>
            <w:r>
              <w:rPr>
                <w:noProof/>
                <w:webHidden/>
              </w:rPr>
              <w:tab/>
            </w:r>
            <w:r>
              <w:rPr>
                <w:noProof/>
                <w:webHidden/>
              </w:rPr>
              <w:fldChar w:fldCharType="begin"/>
            </w:r>
            <w:r>
              <w:rPr>
                <w:noProof/>
                <w:webHidden/>
              </w:rPr>
              <w:instrText xml:space="preserve"> PAGEREF _Toc239772037 \h </w:instrText>
            </w:r>
            <w:r>
              <w:rPr>
                <w:noProof/>
                <w:webHidden/>
              </w:rPr>
            </w:r>
            <w:r>
              <w:rPr>
                <w:noProof/>
                <w:webHidden/>
              </w:rPr>
              <w:fldChar w:fldCharType="separate"/>
            </w:r>
            <w:r>
              <w:rPr>
                <w:noProof/>
                <w:webHidden/>
              </w:rPr>
              <w:t>18</w:t>
            </w:r>
            <w:r>
              <w:rPr>
                <w:noProof/>
                <w:webHidden/>
              </w:rPr>
              <w:fldChar w:fldCharType="end"/>
            </w:r>
          </w:hyperlink>
        </w:p>
        <w:p w14:paraId="40123455" w14:textId="706465E8" w:rsidR="00016C34" w:rsidRDefault="00016C34">
          <w:pPr>
            <w:pStyle w:val="Spistreci2"/>
            <w:rPr>
              <w:rFonts w:asciiTheme="minorHAnsi" w:eastAsiaTheme="minorEastAsia" w:hAnsiTheme="minorHAnsi" w:cstheme="minorBidi"/>
              <w:noProof/>
              <w:color w:val="auto"/>
              <w:lang w:eastAsia="pl-PL"/>
            </w:rPr>
          </w:pPr>
          <w:hyperlink w:anchor="_Toc239772038" w:history="1">
            <w:r w:rsidRPr="003A564F">
              <w:rPr>
                <w:rStyle w:val="Hipercze"/>
                <w:noProof/>
              </w:rPr>
              <w:t>Sytuacja społeczna Pomorza</w:t>
            </w:r>
            <w:r>
              <w:rPr>
                <w:noProof/>
                <w:webHidden/>
              </w:rPr>
              <w:tab/>
            </w:r>
            <w:r>
              <w:rPr>
                <w:noProof/>
                <w:webHidden/>
              </w:rPr>
              <w:fldChar w:fldCharType="begin"/>
            </w:r>
            <w:r>
              <w:rPr>
                <w:noProof/>
                <w:webHidden/>
              </w:rPr>
              <w:instrText xml:space="preserve"> PAGEREF _Toc239772038 \h </w:instrText>
            </w:r>
            <w:r>
              <w:rPr>
                <w:noProof/>
                <w:webHidden/>
              </w:rPr>
            </w:r>
            <w:r>
              <w:rPr>
                <w:noProof/>
                <w:webHidden/>
              </w:rPr>
              <w:fldChar w:fldCharType="separate"/>
            </w:r>
            <w:r>
              <w:rPr>
                <w:noProof/>
                <w:webHidden/>
              </w:rPr>
              <w:t>20</w:t>
            </w:r>
            <w:r>
              <w:rPr>
                <w:noProof/>
                <w:webHidden/>
              </w:rPr>
              <w:fldChar w:fldCharType="end"/>
            </w:r>
          </w:hyperlink>
        </w:p>
        <w:p w14:paraId="156E7D58" w14:textId="4766B0DD" w:rsidR="00016C34" w:rsidRDefault="00016C34">
          <w:pPr>
            <w:pStyle w:val="Spistreci3"/>
            <w:rPr>
              <w:rFonts w:asciiTheme="minorHAnsi" w:eastAsiaTheme="minorEastAsia" w:hAnsiTheme="minorHAnsi" w:cstheme="minorBidi"/>
              <w:noProof/>
              <w:color w:val="auto"/>
              <w:lang w:eastAsia="pl-PL"/>
            </w:rPr>
          </w:pPr>
          <w:hyperlink w:anchor="_Toc239772039" w:history="1">
            <w:r w:rsidRPr="003A564F">
              <w:rPr>
                <w:rStyle w:val="Hipercze"/>
                <w:rFonts w:eastAsia="Aptos"/>
                <w:noProof/>
              </w:rPr>
              <w:t>Wyzwania demograficzne i starzenie się społeczeństwa</w:t>
            </w:r>
            <w:r>
              <w:rPr>
                <w:noProof/>
                <w:webHidden/>
              </w:rPr>
              <w:tab/>
            </w:r>
            <w:r>
              <w:rPr>
                <w:noProof/>
                <w:webHidden/>
              </w:rPr>
              <w:fldChar w:fldCharType="begin"/>
            </w:r>
            <w:r>
              <w:rPr>
                <w:noProof/>
                <w:webHidden/>
              </w:rPr>
              <w:instrText xml:space="preserve"> PAGEREF _Toc239772039 \h </w:instrText>
            </w:r>
            <w:r>
              <w:rPr>
                <w:noProof/>
                <w:webHidden/>
              </w:rPr>
            </w:r>
            <w:r>
              <w:rPr>
                <w:noProof/>
                <w:webHidden/>
              </w:rPr>
              <w:fldChar w:fldCharType="separate"/>
            </w:r>
            <w:r>
              <w:rPr>
                <w:noProof/>
                <w:webHidden/>
              </w:rPr>
              <w:t>20</w:t>
            </w:r>
            <w:r>
              <w:rPr>
                <w:noProof/>
                <w:webHidden/>
              </w:rPr>
              <w:fldChar w:fldCharType="end"/>
            </w:r>
          </w:hyperlink>
        </w:p>
        <w:p w14:paraId="4ACB51FD" w14:textId="7F77EA86" w:rsidR="00016C34" w:rsidRDefault="00016C34">
          <w:pPr>
            <w:pStyle w:val="Spistreci3"/>
            <w:rPr>
              <w:rFonts w:asciiTheme="minorHAnsi" w:eastAsiaTheme="minorEastAsia" w:hAnsiTheme="minorHAnsi" w:cstheme="minorBidi"/>
              <w:noProof/>
              <w:color w:val="auto"/>
              <w:lang w:eastAsia="pl-PL"/>
            </w:rPr>
          </w:pPr>
          <w:hyperlink w:anchor="_Toc239772040" w:history="1">
            <w:r w:rsidRPr="003A564F">
              <w:rPr>
                <w:rStyle w:val="Hipercze"/>
                <w:rFonts w:eastAsia="Aptos"/>
                <w:noProof/>
              </w:rPr>
              <w:t>Migracje</w:t>
            </w:r>
            <w:r>
              <w:rPr>
                <w:noProof/>
                <w:webHidden/>
              </w:rPr>
              <w:tab/>
            </w:r>
            <w:r>
              <w:rPr>
                <w:noProof/>
                <w:webHidden/>
              </w:rPr>
              <w:fldChar w:fldCharType="begin"/>
            </w:r>
            <w:r>
              <w:rPr>
                <w:noProof/>
                <w:webHidden/>
              </w:rPr>
              <w:instrText xml:space="preserve"> PAGEREF _Toc239772040 \h </w:instrText>
            </w:r>
            <w:r>
              <w:rPr>
                <w:noProof/>
                <w:webHidden/>
              </w:rPr>
            </w:r>
            <w:r>
              <w:rPr>
                <w:noProof/>
                <w:webHidden/>
              </w:rPr>
              <w:fldChar w:fldCharType="separate"/>
            </w:r>
            <w:r>
              <w:rPr>
                <w:noProof/>
                <w:webHidden/>
              </w:rPr>
              <w:t>21</w:t>
            </w:r>
            <w:r>
              <w:rPr>
                <w:noProof/>
                <w:webHidden/>
              </w:rPr>
              <w:fldChar w:fldCharType="end"/>
            </w:r>
          </w:hyperlink>
        </w:p>
        <w:p w14:paraId="75153983" w14:textId="10A69E33" w:rsidR="00016C34" w:rsidRDefault="00016C34">
          <w:pPr>
            <w:pStyle w:val="Spistreci3"/>
            <w:rPr>
              <w:rFonts w:asciiTheme="minorHAnsi" w:eastAsiaTheme="minorEastAsia" w:hAnsiTheme="minorHAnsi" w:cstheme="minorBidi"/>
              <w:noProof/>
              <w:color w:val="auto"/>
              <w:lang w:eastAsia="pl-PL"/>
            </w:rPr>
          </w:pPr>
          <w:hyperlink w:anchor="_Toc239772041" w:history="1">
            <w:r w:rsidRPr="003A564F">
              <w:rPr>
                <w:rStyle w:val="Hipercze"/>
                <w:rFonts w:eastAsia="Aptos"/>
                <w:noProof/>
              </w:rPr>
              <w:t>Mieszkalnictwo</w:t>
            </w:r>
            <w:r>
              <w:rPr>
                <w:noProof/>
                <w:webHidden/>
              </w:rPr>
              <w:tab/>
            </w:r>
            <w:r>
              <w:rPr>
                <w:noProof/>
                <w:webHidden/>
              </w:rPr>
              <w:fldChar w:fldCharType="begin"/>
            </w:r>
            <w:r>
              <w:rPr>
                <w:noProof/>
                <w:webHidden/>
              </w:rPr>
              <w:instrText xml:space="preserve"> PAGEREF _Toc239772041 \h </w:instrText>
            </w:r>
            <w:r>
              <w:rPr>
                <w:noProof/>
                <w:webHidden/>
              </w:rPr>
            </w:r>
            <w:r>
              <w:rPr>
                <w:noProof/>
                <w:webHidden/>
              </w:rPr>
              <w:fldChar w:fldCharType="separate"/>
            </w:r>
            <w:r>
              <w:rPr>
                <w:noProof/>
                <w:webHidden/>
              </w:rPr>
              <w:t>22</w:t>
            </w:r>
            <w:r>
              <w:rPr>
                <w:noProof/>
                <w:webHidden/>
              </w:rPr>
              <w:fldChar w:fldCharType="end"/>
            </w:r>
          </w:hyperlink>
        </w:p>
        <w:p w14:paraId="4A4C584A" w14:textId="71997443" w:rsidR="00016C34" w:rsidRDefault="00016C34">
          <w:pPr>
            <w:pStyle w:val="Spistreci3"/>
            <w:rPr>
              <w:rFonts w:asciiTheme="minorHAnsi" w:eastAsiaTheme="minorEastAsia" w:hAnsiTheme="minorHAnsi" w:cstheme="minorBidi"/>
              <w:noProof/>
              <w:color w:val="auto"/>
              <w:lang w:eastAsia="pl-PL"/>
            </w:rPr>
          </w:pPr>
          <w:hyperlink w:anchor="_Toc239772042" w:history="1">
            <w:r w:rsidRPr="003A564F">
              <w:rPr>
                <w:rStyle w:val="Hipercze"/>
                <w:rFonts w:eastAsia="Aptos"/>
                <w:noProof/>
              </w:rPr>
              <w:t>Usługi zdrowotne i społeczne</w:t>
            </w:r>
            <w:r>
              <w:rPr>
                <w:noProof/>
                <w:webHidden/>
              </w:rPr>
              <w:tab/>
            </w:r>
            <w:r>
              <w:rPr>
                <w:noProof/>
                <w:webHidden/>
              </w:rPr>
              <w:fldChar w:fldCharType="begin"/>
            </w:r>
            <w:r>
              <w:rPr>
                <w:noProof/>
                <w:webHidden/>
              </w:rPr>
              <w:instrText xml:space="preserve"> PAGEREF _Toc239772042 \h </w:instrText>
            </w:r>
            <w:r>
              <w:rPr>
                <w:noProof/>
                <w:webHidden/>
              </w:rPr>
            </w:r>
            <w:r>
              <w:rPr>
                <w:noProof/>
                <w:webHidden/>
              </w:rPr>
              <w:fldChar w:fldCharType="separate"/>
            </w:r>
            <w:r>
              <w:rPr>
                <w:noProof/>
                <w:webHidden/>
              </w:rPr>
              <w:t>23</w:t>
            </w:r>
            <w:r>
              <w:rPr>
                <w:noProof/>
                <w:webHidden/>
              </w:rPr>
              <w:fldChar w:fldCharType="end"/>
            </w:r>
          </w:hyperlink>
        </w:p>
        <w:p w14:paraId="6DE3F8E7" w14:textId="6208EB1D" w:rsidR="00016C34" w:rsidRDefault="00016C34">
          <w:pPr>
            <w:pStyle w:val="Spistreci3"/>
            <w:rPr>
              <w:rFonts w:asciiTheme="minorHAnsi" w:eastAsiaTheme="minorEastAsia" w:hAnsiTheme="minorHAnsi" w:cstheme="minorBidi"/>
              <w:noProof/>
              <w:color w:val="auto"/>
              <w:lang w:eastAsia="pl-PL"/>
            </w:rPr>
          </w:pPr>
          <w:hyperlink w:anchor="_Toc239772043" w:history="1">
            <w:r w:rsidRPr="003A564F">
              <w:rPr>
                <w:rStyle w:val="Hipercze"/>
                <w:rFonts w:eastAsia="Aptos"/>
                <w:noProof/>
              </w:rPr>
              <w:t>Kapitał społeczny</w:t>
            </w:r>
            <w:r>
              <w:rPr>
                <w:noProof/>
                <w:webHidden/>
              </w:rPr>
              <w:tab/>
            </w:r>
            <w:r>
              <w:rPr>
                <w:noProof/>
                <w:webHidden/>
              </w:rPr>
              <w:fldChar w:fldCharType="begin"/>
            </w:r>
            <w:r>
              <w:rPr>
                <w:noProof/>
                <w:webHidden/>
              </w:rPr>
              <w:instrText xml:space="preserve"> PAGEREF _Toc239772043 \h </w:instrText>
            </w:r>
            <w:r>
              <w:rPr>
                <w:noProof/>
                <w:webHidden/>
              </w:rPr>
            </w:r>
            <w:r>
              <w:rPr>
                <w:noProof/>
                <w:webHidden/>
              </w:rPr>
              <w:fldChar w:fldCharType="separate"/>
            </w:r>
            <w:r>
              <w:rPr>
                <w:noProof/>
                <w:webHidden/>
              </w:rPr>
              <w:t>26</w:t>
            </w:r>
            <w:r>
              <w:rPr>
                <w:noProof/>
                <w:webHidden/>
              </w:rPr>
              <w:fldChar w:fldCharType="end"/>
            </w:r>
          </w:hyperlink>
        </w:p>
        <w:p w14:paraId="5DD0B6F1" w14:textId="612C02B6" w:rsidR="00016C34" w:rsidRDefault="00016C34">
          <w:pPr>
            <w:pStyle w:val="Spistreci3"/>
            <w:rPr>
              <w:rFonts w:asciiTheme="minorHAnsi" w:eastAsiaTheme="minorEastAsia" w:hAnsiTheme="minorHAnsi" w:cstheme="minorBidi"/>
              <w:noProof/>
              <w:color w:val="auto"/>
              <w:lang w:eastAsia="pl-PL"/>
            </w:rPr>
          </w:pPr>
          <w:hyperlink w:anchor="_Toc239772044" w:history="1">
            <w:r w:rsidRPr="003A564F">
              <w:rPr>
                <w:rStyle w:val="Hipercze"/>
                <w:noProof/>
              </w:rPr>
              <w:t>Mobilność</w:t>
            </w:r>
            <w:r>
              <w:rPr>
                <w:noProof/>
                <w:webHidden/>
              </w:rPr>
              <w:tab/>
            </w:r>
            <w:r>
              <w:rPr>
                <w:noProof/>
                <w:webHidden/>
              </w:rPr>
              <w:fldChar w:fldCharType="begin"/>
            </w:r>
            <w:r>
              <w:rPr>
                <w:noProof/>
                <w:webHidden/>
              </w:rPr>
              <w:instrText xml:space="preserve"> PAGEREF _Toc239772044 \h </w:instrText>
            </w:r>
            <w:r>
              <w:rPr>
                <w:noProof/>
                <w:webHidden/>
              </w:rPr>
            </w:r>
            <w:r>
              <w:rPr>
                <w:noProof/>
                <w:webHidden/>
              </w:rPr>
              <w:fldChar w:fldCharType="separate"/>
            </w:r>
            <w:r>
              <w:rPr>
                <w:noProof/>
                <w:webHidden/>
              </w:rPr>
              <w:t>28</w:t>
            </w:r>
            <w:r>
              <w:rPr>
                <w:noProof/>
                <w:webHidden/>
              </w:rPr>
              <w:fldChar w:fldCharType="end"/>
            </w:r>
          </w:hyperlink>
        </w:p>
        <w:p w14:paraId="2B0733AA" w14:textId="342440A7" w:rsidR="00016C34" w:rsidRDefault="00016C34">
          <w:pPr>
            <w:pStyle w:val="Spistreci3"/>
            <w:rPr>
              <w:rFonts w:asciiTheme="minorHAnsi" w:eastAsiaTheme="minorEastAsia" w:hAnsiTheme="minorHAnsi" w:cstheme="minorBidi"/>
              <w:noProof/>
              <w:color w:val="auto"/>
              <w:lang w:eastAsia="pl-PL"/>
            </w:rPr>
          </w:pPr>
          <w:hyperlink w:anchor="_Toc239772045" w:history="1">
            <w:r w:rsidRPr="003A564F">
              <w:rPr>
                <w:rStyle w:val="Hipercze"/>
                <w:noProof/>
              </w:rPr>
              <w:t>Odporność społeczna</w:t>
            </w:r>
            <w:r>
              <w:rPr>
                <w:noProof/>
                <w:webHidden/>
              </w:rPr>
              <w:tab/>
            </w:r>
            <w:r>
              <w:rPr>
                <w:noProof/>
                <w:webHidden/>
              </w:rPr>
              <w:fldChar w:fldCharType="begin"/>
            </w:r>
            <w:r>
              <w:rPr>
                <w:noProof/>
                <w:webHidden/>
              </w:rPr>
              <w:instrText xml:space="preserve"> PAGEREF _Toc239772045 \h </w:instrText>
            </w:r>
            <w:r>
              <w:rPr>
                <w:noProof/>
                <w:webHidden/>
              </w:rPr>
            </w:r>
            <w:r>
              <w:rPr>
                <w:noProof/>
                <w:webHidden/>
              </w:rPr>
              <w:fldChar w:fldCharType="separate"/>
            </w:r>
            <w:r>
              <w:rPr>
                <w:noProof/>
                <w:webHidden/>
              </w:rPr>
              <w:t>29</w:t>
            </w:r>
            <w:r>
              <w:rPr>
                <w:noProof/>
                <w:webHidden/>
              </w:rPr>
              <w:fldChar w:fldCharType="end"/>
            </w:r>
          </w:hyperlink>
        </w:p>
        <w:p w14:paraId="4E55BAC0" w14:textId="07BF9099" w:rsidR="00016C34" w:rsidRDefault="00016C34">
          <w:pPr>
            <w:pStyle w:val="Spistreci2"/>
            <w:rPr>
              <w:rFonts w:asciiTheme="minorHAnsi" w:eastAsiaTheme="minorEastAsia" w:hAnsiTheme="minorHAnsi" w:cstheme="minorBidi"/>
              <w:noProof/>
              <w:color w:val="auto"/>
              <w:lang w:eastAsia="pl-PL"/>
            </w:rPr>
          </w:pPr>
          <w:hyperlink w:anchor="_Toc239772046" w:history="1">
            <w:r w:rsidRPr="003A564F">
              <w:rPr>
                <w:rStyle w:val="Hipercze"/>
                <w:noProof/>
              </w:rPr>
              <w:t>Sytuacja klimatyczno-środowiskowa Pomorza</w:t>
            </w:r>
            <w:r>
              <w:rPr>
                <w:noProof/>
                <w:webHidden/>
              </w:rPr>
              <w:tab/>
            </w:r>
            <w:r>
              <w:rPr>
                <w:noProof/>
                <w:webHidden/>
              </w:rPr>
              <w:fldChar w:fldCharType="begin"/>
            </w:r>
            <w:r>
              <w:rPr>
                <w:noProof/>
                <w:webHidden/>
              </w:rPr>
              <w:instrText xml:space="preserve"> PAGEREF _Toc239772046 \h </w:instrText>
            </w:r>
            <w:r>
              <w:rPr>
                <w:noProof/>
                <w:webHidden/>
              </w:rPr>
            </w:r>
            <w:r>
              <w:rPr>
                <w:noProof/>
                <w:webHidden/>
              </w:rPr>
              <w:fldChar w:fldCharType="separate"/>
            </w:r>
            <w:r>
              <w:rPr>
                <w:noProof/>
                <w:webHidden/>
              </w:rPr>
              <w:t>32</w:t>
            </w:r>
            <w:r>
              <w:rPr>
                <w:noProof/>
                <w:webHidden/>
              </w:rPr>
              <w:fldChar w:fldCharType="end"/>
            </w:r>
          </w:hyperlink>
        </w:p>
        <w:p w14:paraId="49EA4838" w14:textId="318DB5EB" w:rsidR="00016C34" w:rsidRDefault="00016C34">
          <w:pPr>
            <w:pStyle w:val="Spistreci3"/>
            <w:rPr>
              <w:rFonts w:asciiTheme="minorHAnsi" w:eastAsiaTheme="minorEastAsia" w:hAnsiTheme="minorHAnsi" w:cstheme="minorBidi"/>
              <w:noProof/>
              <w:color w:val="auto"/>
              <w:lang w:eastAsia="pl-PL"/>
            </w:rPr>
          </w:pPr>
          <w:hyperlink w:anchor="_Toc239772047" w:history="1">
            <w:r w:rsidRPr="003A564F">
              <w:rPr>
                <w:rStyle w:val="Hipercze"/>
                <w:noProof/>
              </w:rPr>
              <w:t>Zmiany klimatu, zagrożenia i adaptacja</w:t>
            </w:r>
            <w:r>
              <w:rPr>
                <w:noProof/>
                <w:webHidden/>
              </w:rPr>
              <w:tab/>
            </w:r>
            <w:r>
              <w:rPr>
                <w:noProof/>
                <w:webHidden/>
              </w:rPr>
              <w:fldChar w:fldCharType="begin"/>
            </w:r>
            <w:r>
              <w:rPr>
                <w:noProof/>
                <w:webHidden/>
              </w:rPr>
              <w:instrText xml:space="preserve"> PAGEREF _Toc239772047 \h </w:instrText>
            </w:r>
            <w:r>
              <w:rPr>
                <w:noProof/>
                <w:webHidden/>
              </w:rPr>
            </w:r>
            <w:r>
              <w:rPr>
                <w:noProof/>
                <w:webHidden/>
              </w:rPr>
              <w:fldChar w:fldCharType="separate"/>
            </w:r>
            <w:r>
              <w:rPr>
                <w:noProof/>
                <w:webHidden/>
              </w:rPr>
              <w:t>32</w:t>
            </w:r>
            <w:r>
              <w:rPr>
                <w:noProof/>
                <w:webHidden/>
              </w:rPr>
              <w:fldChar w:fldCharType="end"/>
            </w:r>
          </w:hyperlink>
        </w:p>
        <w:p w14:paraId="3BE15879" w14:textId="2E8B0396" w:rsidR="00016C34" w:rsidRDefault="00016C34">
          <w:pPr>
            <w:pStyle w:val="Spistreci3"/>
            <w:rPr>
              <w:rFonts w:asciiTheme="minorHAnsi" w:eastAsiaTheme="minorEastAsia" w:hAnsiTheme="minorHAnsi" w:cstheme="minorBidi"/>
              <w:noProof/>
              <w:color w:val="auto"/>
              <w:lang w:eastAsia="pl-PL"/>
            </w:rPr>
          </w:pPr>
          <w:hyperlink w:anchor="_Toc239772048" w:history="1">
            <w:r w:rsidRPr="003A564F">
              <w:rPr>
                <w:rStyle w:val="Hipercze"/>
                <w:noProof/>
              </w:rPr>
              <w:t>Jakość powietrza i niska emisja</w:t>
            </w:r>
            <w:r>
              <w:rPr>
                <w:noProof/>
                <w:webHidden/>
              </w:rPr>
              <w:tab/>
            </w:r>
            <w:r>
              <w:rPr>
                <w:noProof/>
                <w:webHidden/>
              </w:rPr>
              <w:fldChar w:fldCharType="begin"/>
            </w:r>
            <w:r>
              <w:rPr>
                <w:noProof/>
                <w:webHidden/>
              </w:rPr>
              <w:instrText xml:space="preserve"> PAGEREF _Toc239772048 \h </w:instrText>
            </w:r>
            <w:r>
              <w:rPr>
                <w:noProof/>
                <w:webHidden/>
              </w:rPr>
            </w:r>
            <w:r>
              <w:rPr>
                <w:noProof/>
                <w:webHidden/>
              </w:rPr>
              <w:fldChar w:fldCharType="separate"/>
            </w:r>
            <w:r>
              <w:rPr>
                <w:noProof/>
                <w:webHidden/>
              </w:rPr>
              <w:t>34</w:t>
            </w:r>
            <w:r>
              <w:rPr>
                <w:noProof/>
                <w:webHidden/>
              </w:rPr>
              <w:fldChar w:fldCharType="end"/>
            </w:r>
          </w:hyperlink>
        </w:p>
        <w:p w14:paraId="4F0BE269" w14:textId="1C060D1C" w:rsidR="00016C34" w:rsidRDefault="00016C34">
          <w:pPr>
            <w:pStyle w:val="Spistreci3"/>
            <w:rPr>
              <w:rFonts w:asciiTheme="minorHAnsi" w:eastAsiaTheme="minorEastAsia" w:hAnsiTheme="minorHAnsi" w:cstheme="minorBidi"/>
              <w:noProof/>
              <w:color w:val="auto"/>
              <w:lang w:eastAsia="pl-PL"/>
            </w:rPr>
          </w:pPr>
          <w:hyperlink w:anchor="_Toc239772049" w:history="1">
            <w:r w:rsidRPr="003A564F">
              <w:rPr>
                <w:rStyle w:val="Hipercze"/>
                <w:noProof/>
              </w:rPr>
              <w:t>Stan zasobów przyrodniczych</w:t>
            </w:r>
            <w:r>
              <w:rPr>
                <w:noProof/>
                <w:webHidden/>
              </w:rPr>
              <w:tab/>
            </w:r>
            <w:r>
              <w:rPr>
                <w:noProof/>
                <w:webHidden/>
              </w:rPr>
              <w:fldChar w:fldCharType="begin"/>
            </w:r>
            <w:r>
              <w:rPr>
                <w:noProof/>
                <w:webHidden/>
              </w:rPr>
              <w:instrText xml:space="preserve"> PAGEREF _Toc239772049 \h </w:instrText>
            </w:r>
            <w:r>
              <w:rPr>
                <w:noProof/>
                <w:webHidden/>
              </w:rPr>
            </w:r>
            <w:r>
              <w:rPr>
                <w:noProof/>
                <w:webHidden/>
              </w:rPr>
              <w:fldChar w:fldCharType="separate"/>
            </w:r>
            <w:r>
              <w:rPr>
                <w:noProof/>
                <w:webHidden/>
              </w:rPr>
              <w:t>35</w:t>
            </w:r>
            <w:r>
              <w:rPr>
                <w:noProof/>
                <w:webHidden/>
              </w:rPr>
              <w:fldChar w:fldCharType="end"/>
            </w:r>
          </w:hyperlink>
        </w:p>
        <w:p w14:paraId="15F9C8CA" w14:textId="1EC54ACA" w:rsidR="00016C34" w:rsidRDefault="00016C34">
          <w:pPr>
            <w:pStyle w:val="Spistreci3"/>
            <w:rPr>
              <w:rFonts w:asciiTheme="minorHAnsi" w:eastAsiaTheme="minorEastAsia" w:hAnsiTheme="minorHAnsi" w:cstheme="minorBidi"/>
              <w:noProof/>
              <w:color w:val="auto"/>
              <w:lang w:eastAsia="pl-PL"/>
            </w:rPr>
          </w:pPr>
          <w:hyperlink w:anchor="_Toc239772050" w:history="1">
            <w:r w:rsidRPr="003A564F">
              <w:rPr>
                <w:rStyle w:val="Hipercze"/>
                <w:noProof/>
              </w:rPr>
              <w:t>Antropopresja na obszary wrażliwe</w:t>
            </w:r>
            <w:r>
              <w:rPr>
                <w:noProof/>
                <w:webHidden/>
              </w:rPr>
              <w:tab/>
            </w:r>
            <w:r>
              <w:rPr>
                <w:noProof/>
                <w:webHidden/>
              </w:rPr>
              <w:fldChar w:fldCharType="begin"/>
            </w:r>
            <w:r>
              <w:rPr>
                <w:noProof/>
                <w:webHidden/>
              </w:rPr>
              <w:instrText xml:space="preserve"> PAGEREF _Toc239772050 \h </w:instrText>
            </w:r>
            <w:r>
              <w:rPr>
                <w:noProof/>
                <w:webHidden/>
              </w:rPr>
            </w:r>
            <w:r>
              <w:rPr>
                <w:noProof/>
                <w:webHidden/>
              </w:rPr>
              <w:fldChar w:fldCharType="separate"/>
            </w:r>
            <w:r>
              <w:rPr>
                <w:noProof/>
                <w:webHidden/>
              </w:rPr>
              <w:t>36</w:t>
            </w:r>
            <w:r>
              <w:rPr>
                <w:noProof/>
                <w:webHidden/>
              </w:rPr>
              <w:fldChar w:fldCharType="end"/>
            </w:r>
          </w:hyperlink>
        </w:p>
        <w:p w14:paraId="2A989D6A" w14:textId="6150F986" w:rsidR="00016C34" w:rsidRDefault="00016C34">
          <w:pPr>
            <w:pStyle w:val="Spistreci2"/>
            <w:rPr>
              <w:rFonts w:asciiTheme="minorHAnsi" w:eastAsiaTheme="minorEastAsia" w:hAnsiTheme="minorHAnsi" w:cstheme="minorBidi"/>
              <w:noProof/>
              <w:color w:val="auto"/>
              <w:lang w:eastAsia="pl-PL"/>
            </w:rPr>
          </w:pPr>
          <w:hyperlink w:anchor="_Toc239772051" w:history="1">
            <w:r w:rsidRPr="003A564F">
              <w:rPr>
                <w:rStyle w:val="Hipercze"/>
                <w:noProof/>
              </w:rPr>
              <w:t>Sytuacja przestrzenna Pomorza</w:t>
            </w:r>
            <w:r>
              <w:rPr>
                <w:noProof/>
                <w:webHidden/>
              </w:rPr>
              <w:tab/>
            </w:r>
            <w:r>
              <w:rPr>
                <w:noProof/>
                <w:webHidden/>
              </w:rPr>
              <w:fldChar w:fldCharType="begin"/>
            </w:r>
            <w:r>
              <w:rPr>
                <w:noProof/>
                <w:webHidden/>
              </w:rPr>
              <w:instrText xml:space="preserve"> PAGEREF _Toc239772051 \h </w:instrText>
            </w:r>
            <w:r>
              <w:rPr>
                <w:noProof/>
                <w:webHidden/>
              </w:rPr>
            </w:r>
            <w:r>
              <w:rPr>
                <w:noProof/>
                <w:webHidden/>
              </w:rPr>
              <w:fldChar w:fldCharType="separate"/>
            </w:r>
            <w:r>
              <w:rPr>
                <w:noProof/>
                <w:webHidden/>
              </w:rPr>
              <w:t>36</w:t>
            </w:r>
            <w:r>
              <w:rPr>
                <w:noProof/>
                <w:webHidden/>
              </w:rPr>
              <w:fldChar w:fldCharType="end"/>
            </w:r>
          </w:hyperlink>
        </w:p>
        <w:p w14:paraId="3BDBAF8B" w14:textId="52606524" w:rsidR="00016C34" w:rsidRDefault="00016C34">
          <w:pPr>
            <w:pStyle w:val="Spistreci3"/>
            <w:rPr>
              <w:rFonts w:asciiTheme="minorHAnsi" w:eastAsiaTheme="minorEastAsia" w:hAnsiTheme="minorHAnsi" w:cstheme="minorBidi"/>
              <w:noProof/>
              <w:color w:val="auto"/>
              <w:lang w:eastAsia="pl-PL"/>
            </w:rPr>
          </w:pPr>
          <w:hyperlink w:anchor="_Toc239772052" w:history="1">
            <w:r w:rsidRPr="003A564F">
              <w:rPr>
                <w:rStyle w:val="Hipercze"/>
                <w:noProof/>
              </w:rPr>
              <w:t>Dysproporcje rozwoju gospodarczego</w:t>
            </w:r>
            <w:r>
              <w:rPr>
                <w:noProof/>
                <w:webHidden/>
              </w:rPr>
              <w:tab/>
            </w:r>
            <w:r>
              <w:rPr>
                <w:noProof/>
                <w:webHidden/>
              </w:rPr>
              <w:fldChar w:fldCharType="begin"/>
            </w:r>
            <w:r>
              <w:rPr>
                <w:noProof/>
                <w:webHidden/>
              </w:rPr>
              <w:instrText xml:space="preserve"> PAGEREF _Toc239772052 \h </w:instrText>
            </w:r>
            <w:r>
              <w:rPr>
                <w:noProof/>
                <w:webHidden/>
              </w:rPr>
            </w:r>
            <w:r>
              <w:rPr>
                <w:noProof/>
                <w:webHidden/>
              </w:rPr>
              <w:fldChar w:fldCharType="separate"/>
            </w:r>
            <w:r>
              <w:rPr>
                <w:noProof/>
                <w:webHidden/>
              </w:rPr>
              <w:t>36</w:t>
            </w:r>
            <w:r>
              <w:rPr>
                <w:noProof/>
                <w:webHidden/>
              </w:rPr>
              <w:fldChar w:fldCharType="end"/>
            </w:r>
          </w:hyperlink>
        </w:p>
        <w:p w14:paraId="75EA3EA2" w14:textId="5A36512E" w:rsidR="00016C34" w:rsidRDefault="00016C34">
          <w:pPr>
            <w:pStyle w:val="Spistreci3"/>
            <w:rPr>
              <w:rFonts w:asciiTheme="minorHAnsi" w:eastAsiaTheme="minorEastAsia" w:hAnsiTheme="minorHAnsi" w:cstheme="minorBidi"/>
              <w:noProof/>
              <w:color w:val="auto"/>
              <w:lang w:eastAsia="pl-PL"/>
            </w:rPr>
          </w:pPr>
          <w:hyperlink w:anchor="_Toc239772053" w:history="1">
            <w:r w:rsidRPr="003A564F">
              <w:rPr>
                <w:rStyle w:val="Hipercze"/>
                <w:noProof/>
              </w:rPr>
              <w:t>Polaryzacja demograficzna</w:t>
            </w:r>
            <w:r>
              <w:rPr>
                <w:noProof/>
                <w:webHidden/>
              </w:rPr>
              <w:tab/>
            </w:r>
            <w:r>
              <w:rPr>
                <w:noProof/>
                <w:webHidden/>
              </w:rPr>
              <w:fldChar w:fldCharType="begin"/>
            </w:r>
            <w:r>
              <w:rPr>
                <w:noProof/>
                <w:webHidden/>
              </w:rPr>
              <w:instrText xml:space="preserve"> PAGEREF _Toc239772053 \h </w:instrText>
            </w:r>
            <w:r>
              <w:rPr>
                <w:noProof/>
                <w:webHidden/>
              </w:rPr>
            </w:r>
            <w:r>
              <w:rPr>
                <w:noProof/>
                <w:webHidden/>
              </w:rPr>
              <w:fldChar w:fldCharType="separate"/>
            </w:r>
            <w:r>
              <w:rPr>
                <w:noProof/>
                <w:webHidden/>
              </w:rPr>
              <w:t>38</w:t>
            </w:r>
            <w:r>
              <w:rPr>
                <w:noProof/>
                <w:webHidden/>
              </w:rPr>
              <w:fldChar w:fldCharType="end"/>
            </w:r>
          </w:hyperlink>
        </w:p>
        <w:p w14:paraId="3671D692" w14:textId="3CC0D439" w:rsidR="00016C34" w:rsidRDefault="00016C34">
          <w:pPr>
            <w:pStyle w:val="Spistreci3"/>
            <w:rPr>
              <w:rFonts w:asciiTheme="minorHAnsi" w:eastAsiaTheme="minorEastAsia" w:hAnsiTheme="minorHAnsi" w:cstheme="minorBidi"/>
              <w:noProof/>
              <w:color w:val="auto"/>
              <w:lang w:eastAsia="pl-PL"/>
            </w:rPr>
          </w:pPr>
          <w:hyperlink w:anchor="_Toc239772054" w:history="1">
            <w:r w:rsidRPr="003A564F">
              <w:rPr>
                <w:rStyle w:val="Hipercze"/>
                <w:noProof/>
              </w:rPr>
              <w:t>Zróżnicowanie warunków życia</w:t>
            </w:r>
            <w:r>
              <w:rPr>
                <w:noProof/>
                <w:webHidden/>
              </w:rPr>
              <w:tab/>
            </w:r>
            <w:r>
              <w:rPr>
                <w:noProof/>
                <w:webHidden/>
              </w:rPr>
              <w:fldChar w:fldCharType="begin"/>
            </w:r>
            <w:r>
              <w:rPr>
                <w:noProof/>
                <w:webHidden/>
              </w:rPr>
              <w:instrText xml:space="preserve"> PAGEREF _Toc239772054 \h </w:instrText>
            </w:r>
            <w:r>
              <w:rPr>
                <w:noProof/>
                <w:webHidden/>
              </w:rPr>
            </w:r>
            <w:r>
              <w:rPr>
                <w:noProof/>
                <w:webHidden/>
              </w:rPr>
              <w:fldChar w:fldCharType="separate"/>
            </w:r>
            <w:r>
              <w:rPr>
                <w:noProof/>
                <w:webHidden/>
              </w:rPr>
              <w:t>40</w:t>
            </w:r>
            <w:r>
              <w:rPr>
                <w:noProof/>
                <w:webHidden/>
              </w:rPr>
              <w:fldChar w:fldCharType="end"/>
            </w:r>
          </w:hyperlink>
        </w:p>
        <w:p w14:paraId="4841737C" w14:textId="5A3699B4" w:rsidR="00016C34" w:rsidRDefault="00016C34">
          <w:pPr>
            <w:pStyle w:val="Spistreci3"/>
            <w:rPr>
              <w:rFonts w:asciiTheme="minorHAnsi" w:eastAsiaTheme="minorEastAsia" w:hAnsiTheme="minorHAnsi" w:cstheme="minorBidi"/>
              <w:noProof/>
              <w:color w:val="auto"/>
              <w:lang w:eastAsia="pl-PL"/>
            </w:rPr>
          </w:pPr>
          <w:hyperlink w:anchor="_Toc239772055" w:history="1">
            <w:r w:rsidRPr="003A564F">
              <w:rPr>
                <w:rStyle w:val="Hipercze"/>
                <w:noProof/>
                <w:lang w:val="pl"/>
              </w:rPr>
              <w:t>Nierównomierny dostęp do usług publicznych</w:t>
            </w:r>
            <w:r>
              <w:rPr>
                <w:noProof/>
                <w:webHidden/>
              </w:rPr>
              <w:tab/>
            </w:r>
            <w:r>
              <w:rPr>
                <w:noProof/>
                <w:webHidden/>
              </w:rPr>
              <w:fldChar w:fldCharType="begin"/>
            </w:r>
            <w:r>
              <w:rPr>
                <w:noProof/>
                <w:webHidden/>
              </w:rPr>
              <w:instrText xml:space="preserve"> PAGEREF _Toc239772055 \h </w:instrText>
            </w:r>
            <w:r>
              <w:rPr>
                <w:noProof/>
                <w:webHidden/>
              </w:rPr>
            </w:r>
            <w:r>
              <w:rPr>
                <w:noProof/>
                <w:webHidden/>
              </w:rPr>
              <w:fldChar w:fldCharType="separate"/>
            </w:r>
            <w:r>
              <w:rPr>
                <w:noProof/>
                <w:webHidden/>
              </w:rPr>
              <w:t>42</w:t>
            </w:r>
            <w:r>
              <w:rPr>
                <w:noProof/>
                <w:webHidden/>
              </w:rPr>
              <w:fldChar w:fldCharType="end"/>
            </w:r>
          </w:hyperlink>
        </w:p>
        <w:p w14:paraId="11F82ABA" w14:textId="2E561E3A" w:rsidR="00016C34" w:rsidRDefault="00016C34">
          <w:pPr>
            <w:pStyle w:val="Spistreci3"/>
            <w:rPr>
              <w:rFonts w:asciiTheme="minorHAnsi" w:eastAsiaTheme="minorEastAsia" w:hAnsiTheme="minorHAnsi" w:cstheme="minorBidi"/>
              <w:noProof/>
              <w:color w:val="auto"/>
              <w:lang w:eastAsia="pl-PL"/>
            </w:rPr>
          </w:pPr>
          <w:hyperlink w:anchor="_Toc239772056" w:history="1">
            <w:r w:rsidRPr="003A564F">
              <w:rPr>
                <w:rStyle w:val="Hipercze"/>
                <w:noProof/>
              </w:rPr>
              <w:t>Polaryzacja dostępności transportowej</w:t>
            </w:r>
            <w:r>
              <w:rPr>
                <w:noProof/>
                <w:webHidden/>
              </w:rPr>
              <w:tab/>
            </w:r>
            <w:r>
              <w:rPr>
                <w:noProof/>
                <w:webHidden/>
              </w:rPr>
              <w:fldChar w:fldCharType="begin"/>
            </w:r>
            <w:r>
              <w:rPr>
                <w:noProof/>
                <w:webHidden/>
              </w:rPr>
              <w:instrText xml:space="preserve"> PAGEREF _Toc239772056 \h </w:instrText>
            </w:r>
            <w:r>
              <w:rPr>
                <w:noProof/>
                <w:webHidden/>
              </w:rPr>
            </w:r>
            <w:r>
              <w:rPr>
                <w:noProof/>
                <w:webHidden/>
              </w:rPr>
              <w:fldChar w:fldCharType="separate"/>
            </w:r>
            <w:r>
              <w:rPr>
                <w:noProof/>
                <w:webHidden/>
              </w:rPr>
              <w:t>44</w:t>
            </w:r>
            <w:r>
              <w:rPr>
                <w:noProof/>
                <w:webHidden/>
              </w:rPr>
              <w:fldChar w:fldCharType="end"/>
            </w:r>
          </w:hyperlink>
        </w:p>
        <w:p w14:paraId="788BCA67" w14:textId="78431A5A" w:rsidR="00016C34" w:rsidRDefault="00016C34">
          <w:pPr>
            <w:pStyle w:val="Spistreci3"/>
            <w:rPr>
              <w:rFonts w:asciiTheme="minorHAnsi" w:eastAsiaTheme="minorEastAsia" w:hAnsiTheme="minorHAnsi" w:cstheme="minorBidi"/>
              <w:noProof/>
              <w:color w:val="auto"/>
              <w:lang w:eastAsia="pl-PL"/>
            </w:rPr>
          </w:pPr>
          <w:hyperlink w:anchor="_Toc239772057" w:history="1">
            <w:r w:rsidRPr="003A564F">
              <w:rPr>
                <w:rStyle w:val="Hipercze"/>
                <w:noProof/>
              </w:rPr>
              <w:t>Ryzyka skutków zmian klimatu</w:t>
            </w:r>
            <w:r>
              <w:rPr>
                <w:noProof/>
                <w:webHidden/>
              </w:rPr>
              <w:tab/>
            </w:r>
            <w:r>
              <w:rPr>
                <w:noProof/>
                <w:webHidden/>
              </w:rPr>
              <w:fldChar w:fldCharType="begin"/>
            </w:r>
            <w:r>
              <w:rPr>
                <w:noProof/>
                <w:webHidden/>
              </w:rPr>
              <w:instrText xml:space="preserve"> PAGEREF _Toc239772057 \h </w:instrText>
            </w:r>
            <w:r>
              <w:rPr>
                <w:noProof/>
                <w:webHidden/>
              </w:rPr>
            </w:r>
            <w:r>
              <w:rPr>
                <w:noProof/>
                <w:webHidden/>
              </w:rPr>
              <w:fldChar w:fldCharType="separate"/>
            </w:r>
            <w:r>
              <w:rPr>
                <w:noProof/>
                <w:webHidden/>
              </w:rPr>
              <w:t>45</w:t>
            </w:r>
            <w:r>
              <w:rPr>
                <w:noProof/>
                <w:webHidden/>
              </w:rPr>
              <w:fldChar w:fldCharType="end"/>
            </w:r>
          </w:hyperlink>
        </w:p>
        <w:p w14:paraId="25E0D166" w14:textId="406AF00B" w:rsidR="00016C34" w:rsidRDefault="00016C34">
          <w:pPr>
            <w:pStyle w:val="Spistreci1"/>
            <w:rPr>
              <w:rFonts w:asciiTheme="minorHAnsi" w:eastAsiaTheme="minorEastAsia" w:hAnsiTheme="minorHAnsi" w:cstheme="minorBidi"/>
              <w:noProof/>
              <w:color w:val="auto"/>
              <w:lang w:eastAsia="pl-PL"/>
            </w:rPr>
          </w:pPr>
          <w:hyperlink w:anchor="_Toc239772058" w:history="1">
            <w:r w:rsidRPr="003A564F">
              <w:rPr>
                <w:rStyle w:val="Hipercze"/>
                <w:noProof/>
              </w:rPr>
              <w:t>II.</w:t>
            </w:r>
            <w:r>
              <w:rPr>
                <w:rFonts w:asciiTheme="minorHAnsi" w:eastAsiaTheme="minorEastAsia" w:hAnsiTheme="minorHAnsi" w:cstheme="minorBidi"/>
                <w:noProof/>
                <w:color w:val="auto"/>
                <w:lang w:eastAsia="pl-PL"/>
              </w:rPr>
              <w:tab/>
            </w:r>
            <w:r w:rsidRPr="003A564F">
              <w:rPr>
                <w:rStyle w:val="Hipercze"/>
                <w:noProof/>
              </w:rPr>
              <w:t>Strategiczne wyzwania rozwojowe województwa pomorskiego</w:t>
            </w:r>
            <w:r>
              <w:rPr>
                <w:noProof/>
                <w:webHidden/>
              </w:rPr>
              <w:tab/>
            </w:r>
            <w:r>
              <w:rPr>
                <w:noProof/>
                <w:webHidden/>
              </w:rPr>
              <w:fldChar w:fldCharType="begin"/>
            </w:r>
            <w:r>
              <w:rPr>
                <w:noProof/>
                <w:webHidden/>
              </w:rPr>
              <w:instrText xml:space="preserve"> PAGEREF _Toc239772058 \h </w:instrText>
            </w:r>
            <w:r>
              <w:rPr>
                <w:noProof/>
                <w:webHidden/>
              </w:rPr>
            </w:r>
            <w:r>
              <w:rPr>
                <w:noProof/>
                <w:webHidden/>
              </w:rPr>
              <w:fldChar w:fldCharType="separate"/>
            </w:r>
            <w:r>
              <w:rPr>
                <w:noProof/>
                <w:webHidden/>
              </w:rPr>
              <w:t>51</w:t>
            </w:r>
            <w:r>
              <w:rPr>
                <w:noProof/>
                <w:webHidden/>
              </w:rPr>
              <w:fldChar w:fldCharType="end"/>
            </w:r>
          </w:hyperlink>
        </w:p>
        <w:p w14:paraId="3CCDF2D2" w14:textId="2A88F7E9" w:rsidR="00016C34" w:rsidRDefault="00016C34">
          <w:pPr>
            <w:pStyle w:val="Spistreci1"/>
            <w:rPr>
              <w:rFonts w:asciiTheme="minorHAnsi" w:eastAsiaTheme="minorEastAsia" w:hAnsiTheme="minorHAnsi" w:cstheme="minorBidi"/>
              <w:noProof/>
              <w:color w:val="auto"/>
              <w:lang w:eastAsia="pl-PL"/>
            </w:rPr>
          </w:pPr>
          <w:hyperlink w:anchor="_Toc239772059" w:history="1">
            <w:r w:rsidRPr="003A564F">
              <w:rPr>
                <w:rStyle w:val="Hipercze"/>
                <w:noProof/>
              </w:rPr>
              <w:t>III.</w:t>
            </w:r>
            <w:r>
              <w:rPr>
                <w:rFonts w:asciiTheme="minorHAnsi" w:eastAsiaTheme="minorEastAsia" w:hAnsiTheme="minorHAnsi" w:cstheme="minorBidi"/>
                <w:noProof/>
                <w:color w:val="auto"/>
                <w:lang w:eastAsia="pl-PL"/>
              </w:rPr>
              <w:tab/>
            </w:r>
            <w:r w:rsidRPr="003A564F">
              <w:rPr>
                <w:rStyle w:val="Hipercze"/>
                <w:noProof/>
              </w:rPr>
              <w:t>Zasady horyzontalne Strategii</w:t>
            </w:r>
            <w:r>
              <w:rPr>
                <w:noProof/>
                <w:webHidden/>
              </w:rPr>
              <w:tab/>
            </w:r>
            <w:r>
              <w:rPr>
                <w:noProof/>
                <w:webHidden/>
              </w:rPr>
              <w:fldChar w:fldCharType="begin"/>
            </w:r>
            <w:r>
              <w:rPr>
                <w:noProof/>
                <w:webHidden/>
              </w:rPr>
              <w:instrText xml:space="preserve"> PAGEREF _Toc239772059 \h </w:instrText>
            </w:r>
            <w:r>
              <w:rPr>
                <w:noProof/>
                <w:webHidden/>
              </w:rPr>
            </w:r>
            <w:r>
              <w:rPr>
                <w:noProof/>
                <w:webHidden/>
              </w:rPr>
              <w:fldChar w:fldCharType="separate"/>
            </w:r>
            <w:r>
              <w:rPr>
                <w:noProof/>
                <w:webHidden/>
              </w:rPr>
              <w:t>53</w:t>
            </w:r>
            <w:r>
              <w:rPr>
                <w:noProof/>
                <w:webHidden/>
              </w:rPr>
              <w:fldChar w:fldCharType="end"/>
            </w:r>
          </w:hyperlink>
        </w:p>
        <w:p w14:paraId="43E9480B" w14:textId="5E5FB643" w:rsidR="00016C34" w:rsidRDefault="00016C34">
          <w:pPr>
            <w:pStyle w:val="Spistreci2"/>
            <w:rPr>
              <w:rFonts w:asciiTheme="minorHAnsi" w:eastAsiaTheme="minorEastAsia" w:hAnsiTheme="minorHAnsi" w:cstheme="minorBidi"/>
              <w:noProof/>
              <w:color w:val="auto"/>
              <w:lang w:eastAsia="pl-PL"/>
            </w:rPr>
          </w:pPr>
          <w:hyperlink w:anchor="_Toc239772060" w:history="1">
            <w:r w:rsidRPr="003A564F">
              <w:rPr>
                <w:rStyle w:val="Hipercze"/>
                <w:noProof/>
              </w:rPr>
              <w:t>1. Zasada wielopoziomowego zarządzania, partnerstwa i współodpowiedzialności</w:t>
            </w:r>
            <w:r>
              <w:rPr>
                <w:noProof/>
                <w:webHidden/>
              </w:rPr>
              <w:tab/>
            </w:r>
            <w:r>
              <w:rPr>
                <w:noProof/>
                <w:webHidden/>
              </w:rPr>
              <w:fldChar w:fldCharType="begin"/>
            </w:r>
            <w:r>
              <w:rPr>
                <w:noProof/>
                <w:webHidden/>
              </w:rPr>
              <w:instrText xml:space="preserve"> PAGEREF _Toc239772060 \h </w:instrText>
            </w:r>
            <w:r>
              <w:rPr>
                <w:noProof/>
                <w:webHidden/>
              </w:rPr>
            </w:r>
            <w:r>
              <w:rPr>
                <w:noProof/>
                <w:webHidden/>
              </w:rPr>
              <w:fldChar w:fldCharType="separate"/>
            </w:r>
            <w:r>
              <w:rPr>
                <w:noProof/>
                <w:webHidden/>
              </w:rPr>
              <w:t>53</w:t>
            </w:r>
            <w:r>
              <w:rPr>
                <w:noProof/>
                <w:webHidden/>
              </w:rPr>
              <w:fldChar w:fldCharType="end"/>
            </w:r>
          </w:hyperlink>
        </w:p>
        <w:p w14:paraId="677D9B18" w14:textId="6719355A" w:rsidR="00016C34" w:rsidRDefault="00016C34">
          <w:pPr>
            <w:pStyle w:val="Spistreci2"/>
            <w:rPr>
              <w:rFonts w:asciiTheme="minorHAnsi" w:eastAsiaTheme="minorEastAsia" w:hAnsiTheme="minorHAnsi" w:cstheme="minorBidi"/>
              <w:noProof/>
              <w:color w:val="auto"/>
              <w:lang w:eastAsia="pl-PL"/>
            </w:rPr>
          </w:pPr>
          <w:hyperlink w:anchor="_Toc239772061" w:history="1">
            <w:r w:rsidRPr="003A564F">
              <w:rPr>
                <w:rStyle w:val="Hipercze"/>
                <w:noProof/>
              </w:rPr>
              <w:t>2. Zasada zintegrowanego podejścia terytorialnego</w:t>
            </w:r>
            <w:r>
              <w:rPr>
                <w:noProof/>
                <w:webHidden/>
              </w:rPr>
              <w:tab/>
            </w:r>
            <w:r>
              <w:rPr>
                <w:noProof/>
                <w:webHidden/>
              </w:rPr>
              <w:fldChar w:fldCharType="begin"/>
            </w:r>
            <w:r>
              <w:rPr>
                <w:noProof/>
                <w:webHidden/>
              </w:rPr>
              <w:instrText xml:space="preserve"> PAGEREF _Toc239772061 \h </w:instrText>
            </w:r>
            <w:r>
              <w:rPr>
                <w:noProof/>
                <w:webHidden/>
              </w:rPr>
            </w:r>
            <w:r>
              <w:rPr>
                <w:noProof/>
                <w:webHidden/>
              </w:rPr>
              <w:fldChar w:fldCharType="separate"/>
            </w:r>
            <w:r>
              <w:rPr>
                <w:noProof/>
                <w:webHidden/>
              </w:rPr>
              <w:t>53</w:t>
            </w:r>
            <w:r>
              <w:rPr>
                <w:noProof/>
                <w:webHidden/>
              </w:rPr>
              <w:fldChar w:fldCharType="end"/>
            </w:r>
          </w:hyperlink>
        </w:p>
        <w:p w14:paraId="58B3E466" w14:textId="7978B0E0" w:rsidR="00016C34" w:rsidRDefault="00016C34">
          <w:pPr>
            <w:pStyle w:val="Spistreci2"/>
            <w:rPr>
              <w:rFonts w:asciiTheme="minorHAnsi" w:eastAsiaTheme="minorEastAsia" w:hAnsiTheme="minorHAnsi" w:cstheme="minorBidi"/>
              <w:noProof/>
              <w:color w:val="auto"/>
              <w:lang w:eastAsia="pl-PL"/>
            </w:rPr>
          </w:pPr>
          <w:hyperlink w:anchor="_Toc239772062" w:history="1">
            <w:r w:rsidRPr="003A564F">
              <w:rPr>
                <w:rStyle w:val="Hipercze"/>
                <w:noProof/>
              </w:rPr>
              <w:t>3. Zasada komplementarności polityk publicznych</w:t>
            </w:r>
            <w:r>
              <w:rPr>
                <w:noProof/>
                <w:webHidden/>
              </w:rPr>
              <w:tab/>
            </w:r>
            <w:r>
              <w:rPr>
                <w:noProof/>
                <w:webHidden/>
              </w:rPr>
              <w:fldChar w:fldCharType="begin"/>
            </w:r>
            <w:r>
              <w:rPr>
                <w:noProof/>
                <w:webHidden/>
              </w:rPr>
              <w:instrText xml:space="preserve"> PAGEREF _Toc239772062 \h </w:instrText>
            </w:r>
            <w:r>
              <w:rPr>
                <w:noProof/>
                <w:webHidden/>
              </w:rPr>
            </w:r>
            <w:r>
              <w:rPr>
                <w:noProof/>
                <w:webHidden/>
              </w:rPr>
              <w:fldChar w:fldCharType="separate"/>
            </w:r>
            <w:r>
              <w:rPr>
                <w:noProof/>
                <w:webHidden/>
              </w:rPr>
              <w:t>54</w:t>
            </w:r>
            <w:r>
              <w:rPr>
                <w:noProof/>
                <w:webHidden/>
              </w:rPr>
              <w:fldChar w:fldCharType="end"/>
            </w:r>
          </w:hyperlink>
        </w:p>
        <w:p w14:paraId="084E007D" w14:textId="2B18610A" w:rsidR="00016C34" w:rsidRDefault="00016C34">
          <w:pPr>
            <w:pStyle w:val="Spistreci2"/>
            <w:rPr>
              <w:rFonts w:asciiTheme="minorHAnsi" w:eastAsiaTheme="minorEastAsia" w:hAnsiTheme="minorHAnsi" w:cstheme="minorBidi"/>
              <w:noProof/>
              <w:color w:val="auto"/>
              <w:lang w:eastAsia="pl-PL"/>
            </w:rPr>
          </w:pPr>
          <w:hyperlink w:anchor="_Toc239772063" w:history="1">
            <w:r w:rsidRPr="003A564F">
              <w:rPr>
                <w:rStyle w:val="Hipercze"/>
                <w:noProof/>
              </w:rPr>
              <w:t>4. Zasada transformacji i budowania odporności</w:t>
            </w:r>
            <w:r>
              <w:rPr>
                <w:noProof/>
                <w:webHidden/>
              </w:rPr>
              <w:tab/>
            </w:r>
            <w:r>
              <w:rPr>
                <w:noProof/>
                <w:webHidden/>
              </w:rPr>
              <w:fldChar w:fldCharType="begin"/>
            </w:r>
            <w:r>
              <w:rPr>
                <w:noProof/>
                <w:webHidden/>
              </w:rPr>
              <w:instrText xml:space="preserve"> PAGEREF _Toc239772063 \h </w:instrText>
            </w:r>
            <w:r>
              <w:rPr>
                <w:noProof/>
                <w:webHidden/>
              </w:rPr>
            </w:r>
            <w:r>
              <w:rPr>
                <w:noProof/>
                <w:webHidden/>
              </w:rPr>
              <w:fldChar w:fldCharType="separate"/>
            </w:r>
            <w:r>
              <w:rPr>
                <w:noProof/>
                <w:webHidden/>
              </w:rPr>
              <w:t>54</w:t>
            </w:r>
            <w:r>
              <w:rPr>
                <w:noProof/>
                <w:webHidden/>
              </w:rPr>
              <w:fldChar w:fldCharType="end"/>
            </w:r>
          </w:hyperlink>
        </w:p>
        <w:p w14:paraId="33757050" w14:textId="41C8BA1C" w:rsidR="00016C34" w:rsidRDefault="00016C34">
          <w:pPr>
            <w:pStyle w:val="Spistreci2"/>
            <w:rPr>
              <w:rFonts w:asciiTheme="minorHAnsi" w:eastAsiaTheme="minorEastAsia" w:hAnsiTheme="minorHAnsi" w:cstheme="minorBidi"/>
              <w:noProof/>
              <w:color w:val="auto"/>
              <w:lang w:eastAsia="pl-PL"/>
            </w:rPr>
          </w:pPr>
          <w:hyperlink w:anchor="_Toc239772064" w:history="1">
            <w:r w:rsidRPr="003A564F">
              <w:rPr>
                <w:rStyle w:val="Hipercze"/>
                <w:noProof/>
              </w:rPr>
              <w:t>5. Zasada racjonalnego gospodarowania przestrzenią</w:t>
            </w:r>
            <w:r>
              <w:rPr>
                <w:noProof/>
                <w:webHidden/>
              </w:rPr>
              <w:tab/>
            </w:r>
            <w:r>
              <w:rPr>
                <w:noProof/>
                <w:webHidden/>
              </w:rPr>
              <w:fldChar w:fldCharType="begin"/>
            </w:r>
            <w:r>
              <w:rPr>
                <w:noProof/>
                <w:webHidden/>
              </w:rPr>
              <w:instrText xml:space="preserve"> PAGEREF _Toc239772064 \h </w:instrText>
            </w:r>
            <w:r>
              <w:rPr>
                <w:noProof/>
                <w:webHidden/>
              </w:rPr>
            </w:r>
            <w:r>
              <w:rPr>
                <w:noProof/>
                <w:webHidden/>
              </w:rPr>
              <w:fldChar w:fldCharType="separate"/>
            </w:r>
            <w:r>
              <w:rPr>
                <w:noProof/>
                <w:webHidden/>
              </w:rPr>
              <w:t>55</w:t>
            </w:r>
            <w:r>
              <w:rPr>
                <w:noProof/>
                <w:webHidden/>
              </w:rPr>
              <w:fldChar w:fldCharType="end"/>
            </w:r>
          </w:hyperlink>
        </w:p>
        <w:p w14:paraId="3B6269AE" w14:textId="13B6A480" w:rsidR="00016C34" w:rsidRDefault="00016C34">
          <w:pPr>
            <w:pStyle w:val="Spistreci2"/>
            <w:rPr>
              <w:rFonts w:asciiTheme="minorHAnsi" w:eastAsiaTheme="minorEastAsia" w:hAnsiTheme="minorHAnsi" w:cstheme="minorBidi"/>
              <w:noProof/>
              <w:color w:val="auto"/>
              <w:lang w:eastAsia="pl-PL"/>
            </w:rPr>
          </w:pPr>
          <w:hyperlink w:anchor="_Toc239772065" w:history="1">
            <w:r w:rsidRPr="003A564F">
              <w:rPr>
                <w:rStyle w:val="Hipercze"/>
                <w:noProof/>
              </w:rPr>
              <w:t>6. Zasada transformacji cyfrowej</w:t>
            </w:r>
            <w:r>
              <w:rPr>
                <w:noProof/>
                <w:webHidden/>
              </w:rPr>
              <w:tab/>
            </w:r>
            <w:r>
              <w:rPr>
                <w:noProof/>
                <w:webHidden/>
              </w:rPr>
              <w:fldChar w:fldCharType="begin"/>
            </w:r>
            <w:r>
              <w:rPr>
                <w:noProof/>
                <w:webHidden/>
              </w:rPr>
              <w:instrText xml:space="preserve"> PAGEREF _Toc239772065 \h </w:instrText>
            </w:r>
            <w:r>
              <w:rPr>
                <w:noProof/>
                <w:webHidden/>
              </w:rPr>
            </w:r>
            <w:r>
              <w:rPr>
                <w:noProof/>
                <w:webHidden/>
              </w:rPr>
              <w:fldChar w:fldCharType="separate"/>
            </w:r>
            <w:r>
              <w:rPr>
                <w:noProof/>
                <w:webHidden/>
              </w:rPr>
              <w:t>55</w:t>
            </w:r>
            <w:r>
              <w:rPr>
                <w:noProof/>
                <w:webHidden/>
              </w:rPr>
              <w:fldChar w:fldCharType="end"/>
            </w:r>
          </w:hyperlink>
        </w:p>
        <w:p w14:paraId="497D1007" w14:textId="60C1514E" w:rsidR="00016C34" w:rsidRDefault="00016C34">
          <w:pPr>
            <w:pStyle w:val="Spistreci2"/>
            <w:rPr>
              <w:rFonts w:asciiTheme="minorHAnsi" w:eastAsiaTheme="minorEastAsia" w:hAnsiTheme="minorHAnsi" w:cstheme="minorBidi"/>
              <w:noProof/>
              <w:color w:val="auto"/>
              <w:lang w:eastAsia="pl-PL"/>
            </w:rPr>
          </w:pPr>
          <w:hyperlink w:anchor="_Toc239772066" w:history="1">
            <w:r w:rsidRPr="003A564F">
              <w:rPr>
                <w:rStyle w:val="Hipercze"/>
                <w:noProof/>
              </w:rPr>
              <w:t>7. Zasada innowacyjności i wykorzystania potencjałów regionalnych</w:t>
            </w:r>
            <w:r>
              <w:rPr>
                <w:noProof/>
                <w:webHidden/>
              </w:rPr>
              <w:tab/>
            </w:r>
            <w:r>
              <w:rPr>
                <w:noProof/>
                <w:webHidden/>
              </w:rPr>
              <w:fldChar w:fldCharType="begin"/>
            </w:r>
            <w:r>
              <w:rPr>
                <w:noProof/>
                <w:webHidden/>
              </w:rPr>
              <w:instrText xml:space="preserve"> PAGEREF _Toc239772066 \h </w:instrText>
            </w:r>
            <w:r>
              <w:rPr>
                <w:noProof/>
                <w:webHidden/>
              </w:rPr>
            </w:r>
            <w:r>
              <w:rPr>
                <w:noProof/>
                <w:webHidden/>
              </w:rPr>
              <w:fldChar w:fldCharType="separate"/>
            </w:r>
            <w:r>
              <w:rPr>
                <w:noProof/>
                <w:webHidden/>
              </w:rPr>
              <w:t>55</w:t>
            </w:r>
            <w:r>
              <w:rPr>
                <w:noProof/>
                <w:webHidden/>
              </w:rPr>
              <w:fldChar w:fldCharType="end"/>
            </w:r>
          </w:hyperlink>
        </w:p>
        <w:p w14:paraId="5DDCB1E3" w14:textId="3C3C6F67" w:rsidR="00016C34" w:rsidRDefault="00016C34">
          <w:pPr>
            <w:pStyle w:val="Spistreci2"/>
            <w:rPr>
              <w:rFonts w:asciiTheme="minorHAnsi" w:eastAsiaTheme="minorEastAsia" w:hAnsiTheme="minorHAnsi" w:cstheme="minorBidi"/>
              <w:noProof/>
              <w:color w:val="auto"/>
              <w:lang w:eastAsia="pl-PL"/>
            </w:rPr>
          </w:pPr>
          <w:hyperlink w:anchor="_Toc239772067" w:history="1">
            <w:r w:rsidRPr="003A564F">
              <w:rPr>
                <w:rStyle w:val="Hipercze"/>
                <w:noProof/>
              </w:rPr>
              <w:t>8. Zasada zrównoważonego rozwoju i neutralności klimatycznej</w:t>
            </w:r>
            <w:r>
              <w:rPr>
                <w:noProof/>
                <w:webHidden/>
              </w:rPr>
              <w:tab/>
            </w:r>
            <w:r>
              <w:rPr>
                <w:noProof/>
                <w:webHidden/>
              </w:rPr>
              <w:fldChar w:fldCharType="begin"/>
            </w:r>
            <w:r>
              <w:rPr>
                <w:noProof/>
                <w:webHidden/>
              </w:rPr>
              <w:instrText xml:space="preserve"> PAGEREF _Toc239772067 \h </w:instrText>
            </w:r>
            <w:r>
              <w:rPr>
                <w:noProof/>
                <w:webHidden/>
              </w:rPr>
            </w:r>
            <w:r>
              <w:rPr>
                <w:noProof/>
                <w:webHidden/>
              </w:rPr>
              <w:fldChar w:fldCharType="separate"/>
            </w:r>
            <w:r>
              <w:rPr>
                <w:noProof/>
                <w:webHidden/>
              </w:rPr>
              <w:t>56</w:t>
            </w:r>
            <w:r>
              <w:rPr>
                <w:noProof/>
                <w:webHidden/>
              </w:rPr>
              <w:fldChar w:fldCharType="end"/>
            </w:r>
          </w:hyperlink>
        </w:p>
        <w:p w14:paraId="76A12708" w14:textId="5E8B84D3" w:rsidR="00016C34" w:rsidRDefault="00016C34">
          <w:pPr>
            <w:pStyle w:val="Spistreci2"/>
            <w:rPr>
              <w:rFonts w:asciiTheme="minorHAnsi" w:eastAsiaTheme="minorEastAsia" w:hAnsiTheme="minorHAnsi" w:cstheme="minorBidi"/>
              <w:noProof/>
              <w:color w:val="auto"/>
              <w:lang w:eastAsia="pl-PL"/>
            </w:rPr>
          </w:pPr>
          <w:hyperlink w:anchor="_Toc239772068" w:history="1">
            <w:r w:rsidRPr="003A564F">
              <w:rPr>
                <w:rStyle w:val="Hipercze"/>
                <w:noProof/>
              </w:rPr>
              <w:t>9. Zasada dostępności i dopasowania usług</w:t>
            </w:r>
            <w:r>
              <w:rPr>
                <w:noProof/>
                <w:webHidden/>
              </w:rPr>
              <w:tab/>
            </w:r>
            <w:r>
              <w:rPr>
                <w:noProof/>
                <w:webHidden/>
              </w:rPr>
              <w:fldChar w:fldCharType="begin"/>
            </w:r>
            <w:r>
              <w:rPr>
                <w:noProof/>
                <w:webHidden/>
              </w:rPr>
              <w:instrText xml:space="preserve"> PAGEREF _Toc239772068 \h </w:instrText>
            </w:r>
            <w:r>
              <w:rPr>
                <w:noProof/>
                <w:webHidden/>
              </w:rPr>
            </w:r>
            <w:r>
              <w:rPr>
                <w:noProof/>
                <w:webHidden/>
              </w:rPr>
              <w:fldChar w:fldCharType="separate"/>
            </w:r>
            <w:r>
              <w:rPr>
                <w:noProof/>
                <w:webHidden/>
              </w:rPr>
              <w:t>56</w:t>
            </w:r>
            <w:r>
              <w:rPr>
                <w:noProof/>
                <w:webHidden/>
              </w:rPr>
              <w:fldChar w:fldCharType="end"/>
            </w:r>
          </w:hyperlink>
        </w:p>
        <w:p w14:paraId="1F634862" w14:textId="4D4C617A" w:rsidR="00016C34" w:rsidRDefault="00016C34">
          <w:pPr>
            <w:pStyle w:val="Spistreci2"/>
            <w:rPr>
              <w:rFonts w:asciiTheme="minorHAnsi" w:eastAsiaTheme="minorEastAsia" w:hAnsiTheme="minorHAnsi" w:cstheme="minorBidi"/>
              <w:noProof/>
              <w:color w:val="auto"/>
              <w:lang w:eastAsia="pl-PL"/>
            </w:rPr>
          </w:pPr>
          <w:hyperlink w:anchor="_Toc239772069" w:history="1">
            <w:r w:rsidRPr="003A564F">
              <w:rPr>
                <w:rStyle w:val="Hipercze"/>
                <w:noProof/>
              </w:rPr>
              <w:t>10. Zasada aktywności obywatelskiej i kapitału społecznego</w:t>
            </w:r>
            <w:r>
              <w:rPr>
                <w:noProof/>
                <w:webHidden/>
              </w:rPr>
              <w:tab/>
            </w:r>
            <w:r>
              <w:rPr>
                <w:noProof/>
                <w:webHidden/>
              </w:rPr>
              <w:fldChar w:fldCharType="begin"/>
            </w:r>
            <w:r>
              <w:rPr>
                <w:noProof/>
                <w:webHidden/>
              </w:rPr>
              <w:instrText xml:space="preserve"> PAGEREF _Toc239772069 \h </w:instrText>
            </w:r>
            <w:r>
              <w:rPr>
                <w:noProof/>
                <w:webHidden/>
              </w:rPr>
            </w:r>
            <w:r>
              <w:rPr>
                <w:noProof/>
                <w:webHidden/>
              </w:rPr>
              <w:fldChar w:fldCharType="separate"/>
            </w:r>
            <w:r>
              <w:rPr>
                <w:noProof/>
                <w:webHidden/>
              </w:rPr>
              <w:t>57</w:t>
            </w:r>
            <w:r>
              <w:rPr>
                <w:noProof/>
                <w:webHidden/>
              </w:rPr>
              <w:fldChar w:fldCharType="end"/>
            </w:r>
          </w:hyperlink>
        </w:p>
        <w:p w14:paraId="3EDC8F6C" w14:textId="0A3C9FF7" w:rsidR="00016C34" w:rsidRDefault="00016C34">
          <w:pPr>
            <w:pStyle w:val="Spistreci2"/>
            <w:rPr>
              <w:rFonts w:asciiTheme="minorHAnsi" w:eastAsiaTheme="minorEastAsia" w:hAnsiTheme="minorHAnsi" w:cstheme="minorBidi"/>
              <w:noProof/>
              <w:color w:val="auto"/>
              <w:lang w:eastAsia="pl-PL"/>
            </w:rPr>
          </w:pPr>
          <w:hyperlink w:anchor="_Toc239772070" w:history="1">
            <w:r w:rsidRPr="003A564F">
              <w:rPr>
                <w:rStyle w:val="Hipercze"/>
                <w:noProof/>
              </w:rPr>
              <w:t>11. Zasada równości i niedyskryminacji</w:t>
            </w:r>
            <w:r>
              <w:rPr>
                <w:noProof/>
                <w:webHidden/>
              </w:rPr>
              <w:tab/>
            </w:r>
            <w:r>
              <w:rPr>
                <w:noProof/>
                <w:webHidden/>
              </w:rPr>
              <w:fldChar w:fldCharType="begin"/>
            </w:r>
            <w:r>
              <w:rPr>
                <w:noProof/>
                <w:webHidden/>
              </w:rPr>
              <w:instrText xml:space="preserve"> PAGEREF _Toc239772070 \h </w:instrText>
            </w:r>
            <w:r>
              <w:rPr>
                <w:noProof/>
                <w:webHidden/>
              </w:rPr>
            </w:r>
            <w:r>
              <w:rPr>
                <w:noProof/>
                <w:webHidden/>
              </w:rPr>
              <w:fldChar w:fldCharType="separate"/>
            </w:r>
            <w:r>
              <w:rPr>
                <w:noProof/>
                <w:webHidden/>
              </w:rPr>
              <w:t>57</w:t>
            </w:r>
            <w:r>
              <w:rPr>
                <w:noProof/>
                <w:webHidden/>
              </w:rPr>
              <w:fldChar w:fldCharType="end"/>
            </w:r>
          </w:hyperlink>
        </w:p>
        <w:p w14:paraId="2E770870" w14:textId="47AC278C" w:rsidR="00016C34" w:rsidRDefault="00016C34">
          <w:pPr>
            <w:pStyle w:val="Spistreci2"/>
            <w:rPr>
              <w:rFonts w:asciiTheme="minorHAnsi" w:eastAsiaTheme="minorEastAsia" w:hAnsiTheme="minorHAnsi" w:cstheme="minorBidi"/>
              <w:noProof/>
              <w:color w:val="auto"/>
              <w:lang w:eastAsia="pl-PL"/>
            </w:rPr>
          </w:pPr>
          <w:hyperlink w:anchor="_Toc239772071" w:history="1">
            <w:r w:rsidRPr="003A564F">
              <w:rPr>
                <w:rStyle w:val="Hipercze"/>
                <w:noProof/>
              </w:rPr>
              <w:t>12. Zasada koncentracji na rezultatach</w:t>
            </w:r>
            <w:r>
              <w:rPr>
                <w:noProof/>
                <w:webHidden/>
              </w:rPr>
              <w:tab/>
            </w:r>
            <w:r>
              <w:rPr>
                <w:noProof/>
                <w:webHidden/>
              </w:rPr>
              <w:fldChar w:fldCharType="begin"/>
            </w:r>
            <w:r>
              <w:rPr>
                <w:noProof/>
                <w:webHidden/>
              </w:rPr>
              <w:instrText xml:space="preserve"> PAGEREF _Toc239772071 \h </w:instrText>
            </w:r>
            <w:r>
              <w:rPr>
                <w:noProof/>
                <w:webHidden/>
              </w:rPr>
            </w:r>
            <w:r>
              <w:rPr>
                <w:noProof/>
                <w:webHidden/>
              </w:rPr>
              <w:fldChar w:fldCharType="separate"/>
            </w:r>
            <w:r>
              <w:rPr>
                <w:noProof/>
                <w:webHidden/>
              </w:rPr>
              <w:t>57</w:t>
            </w:r>
            <w:r>
              <w:rPr>
                <w:noProof/>
                <w:webHidden/>
              </w:rPr>
              <w:fldChar w:fldCharType="end"/>
            </w:r>
          </w:hyperlink>
        </w:p>
        <w:p w14:paraId="278B813D" w14:textId="767FE96F" w:rsidR="00016C34" w:rsidRDefault="00016C34">
          <w:pPr>
            <w:pStyle w:val="Spistreci2"/>
            <w:rPr>
              <w:rFonts w:asciiTheme="minorHAnsi" w:eastAsiaTheme="minorEastAsia" w:hAnsiTheme="minorHAnsi" w:cstheme="minorBidi"/>
              <w:noProof/>
              <w:color w:val="auto"/>
              <w:lang w:eastAsia="pl-PL"/>
            </w:rPr>
          </w:pPr>
          <w:hyperlink w:anchor="_Toc239772072" w:history="1">
            <w:r w:rsidRPr="003A564F">
              <w:rPr>
                <w:rStyle w:val="Hipercze"/>
                <w:noProof/>
              </w:rPr>
              <w:t>13. Zasada aktywnej współpracy międzyregionalnej i międzynarodowej</w:t>
            </w:r>
            <w:r>
              <w:rPr>
                <w:noProof/>
                <w:webHidden/>
              </w:rPr>
              <w:tab/>
            </w:r>
            <w:r>
              <w:rPr>
                <w:noProof/>
                <w:webHidden/>
              </w:rPr>
              <w:fldChar w:fldCharType="begin"/>
            </w:r>
            <w:r>
              <w:rPr>
                <w:noProof/>
                <w:webHidden/>
              </w:rPr>
              <w:instrText xml:space="preserve"> PAGEREF _Toc239772072 \h </w:instrText>
            </w:r>
            <w:r>
              <w:rPr>
                <w:noProof/>
                <w:webHidden/>
              </w:rPr>
            </w:r>
            <w:r>
              <w:rPr>
                <w:noProof/>
                <w:webHidden/>
              </w:rPr>
              <w:fldChar w:fldCharType="separate"/>
            </w:r>
            <w:r>
              <w:rPr>
                <w:noProof/>
                <w:webHidden/>
              </w:rPr>
              <w:t>58</w:t>
            </w:r>
            <w:r>
              <w:rPr>
                <w:noProof/>
                <w:webHidden/>
              </w:rPr>
              <w:fldChar w:fldCharType="end"/>
            </w:r>
          </w:hyperlink>
        </w:p>
        <w:p w14:paraId="2DE9BEC1" w14:textId="2A89619F" w:rsidR="00016C34" w:rsidRDefault="00016C34">
          <w:pPr>
            <w:pStyle w:val="Spistreci1"/>
            <w:rPr>
              <w:rFonts w:asciiTheme="minorHAnsi" w:eastAsiaTheme="minorEastAsia" w:hAnsiTheme="minorHAnsi" w:cstheme="minorBidi"/>
              <w:noProof/>
              <w:color w:val="auto"/>
              <w:lang w:eastAsia="pl-PL"/>
            </w:rPr>
          </w:pPr>
          <w:hyperlink w:anchor="_Toc239772073" w:history="1">
            <w:r w:rsidRPr="003A564F">
              <w:rPr>
                <w:rStyle w:val="Hipercze"/>
                <w:noProof/>
              </w:rPr>
              <w:t>IV.</w:t>
            </w:r>
            <w:r>
              <w:rPr>
                <w:rFonts w:asciiTheme="minorHAnsi" w:eastAsiaTheme="minorEastAsia" w:hAnsiTheme="minorHAnsi" w:cstheme="minorBidi"/>
                <w:noProof/>
                <w:color w:val="auto"/>
                <w:lang w:eastAsia="pl-PL"/>
              </w:rPr>
              <w:tab/>
            </w:r>
            <w:r w:rsidRPr="003A564F">
              <w:rPr>
                <w:rStyle w:val="Hipercze"/>
                <w:noProof/>
              </w:rPr>
              <w:t>Cele strategiczne i operacyjne</w:t>
            </w:r>
            <w:r>
              <w:rPr>
                <w:noProof/>
                <w:webHidden/>
              </w:rPr>
              <w:tab/>
            </w:r>
            <w:r>
              <w:rPr>
                <w:noProof/>
                <w:webHidden/>
              </w:rPr>
              <w:fldChar w:fldCharType="begin"/>
            </w:r>
            <w:r>
              <w:rPr>
                <w:noProof/>
                <w:webHidden/>
              </w:rPr>
              <w:instrText xml:space="preserve"> PAGEREF _Toc239772073 \h </w:instrText>
            </w:r>
            <w:r>
              <w:rPr>
                <w:noProof/>
                <w:webHidden/>
              </w:rPr>
            </w:r>
            <w:r>
              <w:rPr>
                <w:noProof/>
                <w:webHidden/>
              </w:rPr>
              <w:fldChar w:fldCharType="separate"/>
            </w:r>
            <w:r>
              <w:rPr>
                <w:noProof/>
                <w:webHidden/>
              </w:rPr>
              <w:t>60</w:t>
            </w:r>
            <w:r>
              <w:rPr>
                <w:noProof/>
                <w:webHidden/>
              </w:rPr>
              <w:fldChar w:fldCharType="end"/>
            </w:r>
          </w:hyperlink>
        </w:p>
        <w:p w14:paraId="7B47B16D" w14:textId="16CAB3B8" w:rsidR="00016C34" w:rsidRDefault="00016C34">
          <w:pPr>
            <w:pStyle w:val="Spistreci2"/>
            <w:rPr>
              <w:rFonts w:asciiTheme="minorHAnsi" w:eastAsiaTheme="minorEastAsia" w:hAnsiTheme="minorHAnsi" w:cstheme="minorBidi"/>
              <w:noProof/>
              <w:color w:val="auto"/>
              <w:lang w:eastAsia="pl-PL"/>
            </w:rPr>
          </w:pPr>
          <w:hyperlink w:anchor="_Toc239772074" w:history="1">
            <w:r w:rsidRPr="003A564F">
              <w:rPr>
                <w:rStyle w:val="Hipercze"/>
                <w:noProof/>
              </w:rPr>
              <w:t>Cel strategiczny 1. Pomorska gospodarka wartości</w:t>
            </w:r>
            <w:r>
              <w:rPr>
                <w:noProof/>
                <w:webHidden/>
              </w:rPr>
              <w:tab/>
            </w:r>
            <w:r>
              <w:rPr>
                <w:noProof/>
                <w:webHidden/>
              </w:rPr>
              <w:fldChar w:fldCharType="begin"/>
            </w:r>
            <w:r>
              <w:rPr>
                <w:noProof/>
                <w:webHidden/>
              </w:rPr>
              <w:instrText xml:space="preserve"> PAGEREF _Toc239772074 \h </w:instrText>
            </w:r>
            <w:r>
              <w:rPr>
                <w:noProof/>
                <w:webHidden/>
              </w:rPr>
            </w:r>
            <w:r>
              <w:rPr>
                <w:noProof/>
                <w:webHidden/>
              </w:rPr>
              <w:fldChar w:fldCharType="separate"/>
            </w:r>
            <w:r>
              <w:rPr>
                <w:noProof/>
                <w:webHidden/>
              </w:rPr>
              <w:t>62</w:t>
            </w:r>
            <w:r>
              <w:rPr>
                <w:noProof/>
                <w:webHidden/>
              </w:rPr>
              <w:fldChar w:fldCharType="end"/>
            </w:r>
          </w:hyperlink>
        </w:p>
        <w:p w14:paraId="086E8F19" w14:textId="0EFE2B57" w:rsidR="00016C34" w:rsidRDefault="00016C34">
          <w:pPr>
            <w:pStyle w:val="Spistreci3"/>
            <w:rPr>
              <w:rFonts w:asciiTheme="minorHAnsi" w:eastAsiaTheme="minorEastAsia" w:hAnsiTheme="minorHAnsi" w:cstheme="minorBidi"/>
              <w:noProof/>
              <w:color w:val="auto"/>
              <w:lang w:eastAsia="pl-PL"/>
            </w:rPr>
          </w:pPr>
          <w:hyperlink w:anchor="_Toc239772075" w:history="1">
            <w:r w:rsidRPr="003A564F">
              <w:rPr>
                <w:rStyle w:val="Hipercze"/>
                <w:noProof/>
              </w:rPr>
              <w:t>Przesłanki realizacji Celu strategicznego 1.</w:t>
            </w:r>
            <w:r>
              <w:rPr>
                <w:noProof/>
                <w:webHidden/>
              </w:rPr>
              <w:tab/>
            </w:r>
            <w:r>
              <w:rPr>
                <w:noProof/>
                <w:webHidden/>
              </w:rPr>
              <w:fldChar w:fldCharType="begin"/>
            </w:r>
            <w:r>
              <w:rPr>
                <w:noProof/>
                <w:webHidden/>
              </w:rPr>
              <w:instrText xml:space="preserve"> PAGEREF _Toc239772075 \h </w:instrText>
            </w:r>
            <w:r>
              <w:rPr>
                <w:noProof/>
                <w:webHidden/>
              </w:rPr>
            </w:r>
            <w:r>
              <w:rPr>
                <w:noProof/>
                <w:webHidden/>
              </w:rPr>
              <w:fldChar w:fldCharType="separate"/>
            </w:r>
            <w:r>
              <w:rPr>
                <w:noProof/>
                <w:webHidden/>
              </w:rPr>
              <w:t>62</w:t>
            </w:r>
            <w:r>
              <w:rPr>
                <w:noProof/>
                <w:webHidden/>
              </w:rPr>
              <w:fldChar w:fldCharType="end"/>
            </w:r>
          </w:hyperlink>
        </w:p>
        <w:p w14:paraId="14746629" w14:textId="44C96EAE" w:rsidR="00016C34" w:rsidRDefault="00016C34">
          <w:pPr>
            <w:pStyle w:val="Spistreci3"/>
            <w:rPr>
              <w:rFonts w:asciiTheme="minorHAnsi" w:eastAsiaTheme="minorEastAsia" w:hAnsiTheme="minorHAnsi" w:cstheme="minorBidi"/>
              <w:noProof/>
              <w:color w:val="auto"/>
              <w:lang w:eastAsia="pl-PL"/>
            </w:rPr>
          </w:pPr>
          <w:hyperlink w:anchor="_Toc239772076" w:history="1">
            <w:r w:rsidRPr="003A564F">
              <w:rPr>
                <w:rStyle w:val="Hipercze"/>
                <w:noProof/>
              </w:rPr>
              <w:t>Pożądany kierunek zmian CS 1.</w:t>
            </w:r>
            <w:r>
              <w:rPr>
                <w:noProof/>
                <w:webHidden/>
              </w:rPr>
              <w:tab/>
            </w:r>
            <w:r>
              <w:rPr>
                <w:noProof/>
                <w:webHidden/>
              </w:rPr>
              <w:fldChar w:fldCharType="begin"/>
            </w:r>
            <w:r>
              <w:rPr>
                <w:noProof/>
                <w:webHidden/>
              </w:rPr>
              <w:instrText xml:space="preserve"> PAGEREF _Toc239772076 \h </w:instrText>
            </w:r>
            <w:r>
              <w:rPr>
                <w:noProof/>
                <w:webHidden/>
              </w:rPr>
            </w:r>
            <w:r>
              <w:rPr>
                <w:noProof/>
                <w:webHidden/>
              </w:rPr>
              <w:fldChar w:fldCharType="separate"/>
            </w:r>
            <w:r>
              <w:rPr>
                <w:noProof/>
                <w:webHidden/>
              </w:rPr>
              <w:t>63</w:t>
            </w:r>
            <w:r>
              <w:rPr>
                <w:noProof/>
                <w:webHidden/>
              </w:rPr>
              <w:fldChar w:fldCharType="end"/>
            </w:r>
          </w:hyperlink>
        </w:p>
        <w:p w14:paraId="507FEF96" w14:textId="0C47DE2C" w:rsidR="00016C34" w:rsidRDefault="00016C34">
          <w:pPr>
            <w:pStyle w:val="Spistreci3"/>
            <w:rPr>
              <w:rFonts w:asciiTheme="minorHAnsi" w:eastAsiaTheme="minorEastAsia" w:hAnsiTheme="minorHAnsi" w:cstheme="minorBidi"/>
              <w:noProof/>
              <w:color w:val="auto"/>
              <w:lang w:eastAsia="pl-PL"/>
            </w:rPr>
          </w:pPr>
          <w:hyperlink w:anchor="_Toc239772077" w:history="1">
            <w:r w:rsidRPr="003A564F">
              <w:rPr>
                <w:rStyle w:val="Hipercze"/>
                <w:noProof/>
              </w:rPr>
              <w:t>Cel operacyjny 1.1. Nowe ścieżki wzrostu</w:t>
            </w:r>
            <w:r>
              <w:rPr>
                <w:noProof/>
                <w:webHidden/>
              </w:rPr>
              <w:tab/>
            </w:r>
            <w:r>
              <w:rPr>
                <w:noProof/>
                <w:webHidden/>
              </w:rPr>
              <w:fldChar w:fldCharType="begin"/>
            </w:r>
            <w:r>
              <w:rPr>
                <w:noProof/>
                <w:webHidden/>
              </w:rPr>
              <w:instrText xml:space="preserve"> PAGEREF _Toc239772077 \h </w:instrText>
            </w:r>
            <w:r>
              <w:rPr>
                <w:noProof/>
                <w:webHidden/>
              </w:rPr>
            </w:r>
            <w:r>
              <w:rPr>
                <w:noProof/>
                <w:webHidden/>
              </w:rPr>
              <w:fldChar w:fldCharType="separate"/>
            </w:r>
            <w:r>
              <w:rPr>
                <w:noProof/>
                <w:webHidden/>
              </w:rPr>
              <w:t>64</w:t>
            </w:r>
            <w:r>
              <w:rPr>
                <w:noProof/>
                <w:webHidden/>
              </w:rPr>
              <w:fldChar w:fldCharType="end"/>
            </w:r>
          </w:hyperlink>
        </w:p>
        <w:p w14:paraId="57172C47" w14:textId="21ECA0AE" w:rsidR="00016C34" w:rsidRDefault="00016C34">
          <w:pPr>
            <w:pStyle w:val="Spistreci3"/>
            <w:rPr>
              <w:rFonts w:asciiTheme="minorHAnsi" w:eastAsiaTheme="minorEastAsia" w:hAnsiTheme="minorHAnsi" w:cstheme="minorBidi"/>
              <w:noProof/>
              <w:color w:val="auto"/>
              <w:lang w:eastAsia="pl-PL"/>
            </w:rPr>
          </w:pPr>
          <w:hyperlink w:anchor="_Toc239772078" w:history="1">
            <w:r w:rsidRPr="003A564F">
              <w:rPr>
                <w:rStyle w:val="Hipercze"/>
                <w:noProof/>
              </w:rPr>
              <w:t>Cel operacyjny 1.2. Unikalne potencjały wzrostu</w:t>
            </w:r>
            <w:r>
              <w:rPr>
                <w:noProof/>
                <w:webHidden/>
              </w:rPr>
              <w:tab/>
            </w:r>
            <w:r>
              <w:rPr>
                <w:noProof/>
                <w:webHidden/>
              </w:rPr>
              <w:fldChar w:fldCharType="begin"/>
            </w:r>
            <w:r>
              <w:rPr>
                <w:noProof/>
                <w:webHidden/>
              </w:rPr>
              <w:instrText xml:space="preserve"> PAGEREF _Toc239772078 \h </w:instrText>
            </w:r>
            <w:r>
              <w:rPr>
                <w:noProof/>
                <w:webHidden/>
              </w:rPr>
            </w:r>
            <w:r>
              <w:rPr>
                <w:noProof/>
                <w:webHidden/>
              </w:rPr>
              <w:fldChar w:fldCharType="separate"/>
            </w:r>
            <w:r>
              <w:rPr>
                <w:noProof/>
                <w:webHidden/>
              </w:rPr>
              <w:t>67</w:t>
            </w:r>
            <w:r>
              <w:rPr>
                <w:noProof/>
                <w:webHidden/>
              </w:rPr>
              <w:fldChar w:fldCharType="end"/>
            </w:r>
          </w:hyperlink>
        </w:p>
        <w:p w14:paraId="2F0A7104" w14:textId="73A3C4E4" w:rsidR="00016C34" w:rsidRDefault="00016C34">
          <w:pPr>
            <w:pStyle w:val="Spistreci3"/>
            <w:rPr>
              <w:rFonts w:asciiTheme="minorHAnsi" w:eastAsiaTheme="minorEastAsia" w:hAnsiTheme="minorHAnsi" w:cstheme="minorBidi"/>
              <w:noProof/>
              <w:color w:val="auto"/>
              <w:lang w:eastAsia="pl-PL"/>
            </w:rPr>
          </w:pPr>
          <w:hyperlink w:anchor="_Toc239772079" w:history="1">
            <w:r w:rsidRPr="003A564F">
              <w:rPr>
                <w:rStyle w:val="Hipercze"/>
                <w:noProof/>
              </w:rPr>
              <w:t>Cel operacyjny 1.3. Energia dla wzrostu</w:t>
            </w:r>
            <w:r>
              <w:rPr>
                <w:noProof/>
                <w:webHidden/>
              </w:rPr>
              <w:tab/>
            </w:r>
            <w:r>
              <w:rPr>
                <w:noProof/>
                <w:webHidden/>
              </w:rPr>
              <w:fldChar w:fldCharType="begin"/>
            </w:r>
            <w:r>
              <w:rPr>
                <w:noProof/>
                <w:webHidden/>
              </w:rPr>
              <w:instrText xml:space="preserve"> PAGEREF _Toc239772079 \h </w:instrText>
            </w:r>
            <w:r>
              <w:rPr>
                <w:noProof/>
                <w:webHidden/>
              </w:rPr>
            </w:r>
            <w:r>
              <w:rPr>
                <w:noProof/>
                <w:webHidden/>
              </w:rPr>
              <w:fldChar w:fldCharType="separate"/>
            </w:r>
            <w:r>
              <w:rPr>
                <w:noProof/>
                <w:webHidden/>
              </w:rPr>
              <w:t>70</w:t>
            </w:r>
            <w:r>
              <w:rPr>
                <w:noProof/>
                <w:webHidden/>
              </w:rPr>
              <w:fldChar w:fldCharType="end"/>
            </w:r>
          </w:hyperlink>
        </w:p>
        <w:p w14:paraId="3E9E7C65" w14:textId="6C1D792B" w:rsidR="00016C34" w:rsidRDefault="00016C34">
          <w:pPr>
            <w:pStyle w:val="Spistreci3"/>
            <w:rPr>
              <w:rFonts w:asciiTheme="minorHAnsi" w:eastAsiaTheme="minorEastAsia" w:hAnsiTheme="minorHAnsi" w:cstheme="minorBidi"/>
              <w:noProof/>
              <w:color w:val="auto"/>
              <w:lang w:eastAsia="pl-PL"/>
            </w:rPr>
          </w:pPr>
          <w:hyperlink w:anchor="_Toc239772080" w:history="1">
            <w:r w:rsidRPr="003A564F">
              <w:rPr>
                <w:rStyle w:val="Hipercze"/>
                <w:noProof/>
              </w:rPr>
              <w:t>Cel operacyjny 1.4. Kadry dla gospodarki</w:t>
            </w:r>
            <w:r>
              <w:rPr>
                <w:noProof/>
                <w:webHidden/>
              </w:rPr>
              <w:tab/>
            </w:r>
            <w:r>
              <w:rPr>
                <w:noProof/>
                <w:webHidden/>
              </w:rPr>
              <w:fldChar w:fldCharType="begin"/>
            </w:r>
            <w:r>
              <w:rPr>
                <w:noProof/>
                <w:webHidden/>
              </w:rPr>
              <w:instrText xml:space="preserve"> PAGEREF _Toc239772080 \h </w:instrText>
            </w:r>
            <w:r>
              <w:rPr>
                <w:noProof/>
                <w:webHidden/>
              </w:rPr>
            </w:r>
            <w:r>
              <w:rPr>
                <w:noProof/>
                <w:webHidden/>
              </w:rPr>
              <w:fldChar w:fldCharType="separate"/>
            </w:r>
            <w:r>
              <w:rPr>
                <w:noProof/>
                <w:webHidden/>
              </w:rPr>
              <w:t>73</w:t>
            </w:r>
            <w:r>
              <w:rPr>
                <w:noProof/>
                <w:webHidden/>
              </w:rPr>
              <w:fldChar w:fldCharType="end"/>
            </w:r>
          </w:hyperlink>
        </w:p>
        <w:p w14:paraId="611715A4" w14:textId="3B8AB74E" w:rsidR="00016C34" w:rsidRDefault="00016C34">
          <w:pPr>
            <w:pStyle w:val="Spistreci2"/>
            <w:rPr>
              <w:rFonts w:asciiTheme="minorHAnsi" w:eastAsiaTheme="minorEastAsia" w:hAnsiTheme="minorHAnsi" w:cstheme="minorBidi"/>
              <w:noProof/>
              <w:color w:val="auto"/>
              <w:lang w:eastAsia="pl-PL"/>
            </w:rPr>
          </w:pPr>
          <w:hyperlink w:anchor="_Toc239772081" w:history="1">
            <w:r w:rsidRPr="003A564F">
              <w:rPr>
                <w:rStyle w:val="Hipercze"/>
                <w:noProof/>
              </w:rPr>
              <w:t>Cel strategiczny 2. Pomorze odporne i bezpieczne</w:t>
            </w:r>
            <w:r>
              <w:rPr>
                <w:noProof/>
                <w:webHidden/>
              </w:rPr>
              <w:tab/>
            </w:r>
            <w:r>
              <w:rPr>
                <w:noProof/>
                <w:webHidden/>
              </w:rPr>
              <w:fldChar w:fldCharType="begin"/>
            </w:r>
            <w:r>
              <w:rPr>
                <w:noProof/>
                <w:webHidden/>
              </w:rPr>
              <w:instrText xml:space="preserve"> PAGEREF _Toc239772081 \h </w:instrText>
            </w:r>
            <w:r>
              <w:rPr>
                <w:noProof/>
                <w:webHidden/>
              </w:rPr>
            </w:r>
            <w:r>
              <w:rPr>
                <w:noProof/>
                <w:webHidden/>
              </w:rPr>
              <w:fldChar w:fldCharType="separate"/>
            </w:r>
            <w:r>
              <w:rPr>
                <w:noProof/>
                <w:webHidden/>
              </w:rPr>
              <w:t>76</w:t>
            </w:r>
            <w:r>
              <w:rPr>
                <w:noProof/>
                <w:webHidden/>
              </w:rPr>
              <w:fldChar w:fldCharType="end"/>
            </w:r>
          </w:hyperlink>
        </w:p>
        <w:p w14:paraId="4DA62472" w14:textId="463FA665" w:rsidR="00016C34" w:rsidRDefault="00016C34">
          <w:pPr>
            <w:pStyle w:val="Spistreci3"/>
            <w:rPr>
              <w:rFonts w:asciiTheme="minorHAnsi" w:eastAsiaTheme="minorEastAsia" w:hAnsiTheme="minorHAnsi" w:cstheme="minorBidi"/>
              <w:noProof/>
              <w:color w:val="auto"/>
              <w:lang w:eastAsia="pl-PL"/>
            </w:rPr>
          </w:pPr>
          <w:hyperlink w:anchor="_Toc239772082" w:history="1">
            <w:r w:rsidRPr="003A564F">
              <w:rPr>
                <w:rStyle w:val="Hipercze"/>
                <w:noProof/>
              </w:rPr>
              <w:t>Przesłanki realizacji Celu strategicznego 2.</w:t>
            </w:r>
            <w:r>
              <w:rPr>
                <w:noProof/>
                <w:webHidden/>
              </w:rPr>
              <w:tab/>
            </w:r>
            <w:r>
              <w:rPr>
                <w:noProof/>
                <w:webHidden/>
              </w:rPr>
              <w:fldChar w:fldCharType="begin"/>
            </w:r>
            <w:r>
              <w:rPr>
                <w:noProof/>
                <w:webHidden/>
              </w:rPr>
              <w:instrText xml:space="preserve"> PAGEREF _Toc239772082 \h </w:instrText>
            </w:r>
            <w:r>
              <w:rPr>
                <w:noProof/>
                <w:webHidden/>
              </w:rPr>
            </w:r>
            <w:r>
              <w:rPr>
                <w:noProof/>
                <w:webHidden/>
              </w:rPr>
              <w:fldChar w:fldCharType="separate"/>
            </w:r>
            <w:r>
              <w:rPr>
                <w:noProof/>
                <w:webHidden/>
              </w:rPr>
              <w:t>76</w:t>
            </w:r>
            <w:r>
              <w:rPr>
                <w:noProof/>
                <w:webHidden/>
              </w:rPr>
              <w:fldChar w:fldCharType="end"/>
            </w:r>
          </w:hyperlink>
        </w:p>
        <w:p w14:paraId="79D10A85" w14:textId="1B6BF2E2" w:rsidR="00016C34" w:rsidRDefault="00016C34">
          <w:pPr>
            <w:pStyle w:val="Spistreci3"/>
            <w:rPr>
              <w:rFonts w:asciiTheme="minorHAnsi" w:eastAsiaTheme="minorEastAsia" w:hAnsiTheme="minorHAnsi" w:cstheme="minorBidi"/>
              <w:noProof/>
              <w:color w:val="auto"/>
              <w:lang w:eastAsia="pl-PL"/>
            </w:rPr>
          </w:pPr>
          <w:hyperlink w:anchor="_Toc239772083" w:history="1">
            <w:r w:rsidRPr="003A564F">
              <w:rPr>
                <w:rStyle w:val="Hipercze"/>
                <w:noProof/>
              </w:rPr>
              <w:t>Pożądany kierunek zmian CS 2.</w:t>
            </w:r>
            <w:r>
              <w:rPr>
                <w:noProof/>
                <w:webHidden/>
              </w:rPr>
              <w:tab/>
            </w:r>
            <w:r>
              <w:rPr>
                <w:noProof/>
                <w:webHidden/>
              </w:rPr>
              <w:fldChar w:fldCharType="begin"/>
            </w:r>
            <w:r>
              <w:rPr>
                <w:noProof/>
                <w:webHidden/>
              </w:rPr>
              <w:instrText xml:space="preserve"> PAGEREF _Toc239772083 \h </w:instrText>
            </w:r>
            <w:r>
              <w:rPr>
                <w:noProof/>
                <w:webHidden/>
              </w:rPr>
            </w:r>
            <w:r>
              <w:rPr>
                <w:noProof/>
                <w:webHidden/>
              </w:rPr>
              <w:fldChar w:fldCharType="separate"/>
            </w:r>
            <w:r>
              <w:rPr>
                <w:noProof/>
                <w:webHidden/>
              </w:rPr>
              <w:t>77</w:t>
            </w:r>
            <w:r>
              <w:rPr>
                <w:noProof/>
                <w:webHidden/>
              </w:rPr>
              <w:fldChar w:fldCharType="end"/>
            </w:r>
          </w:hyperlink>
        </w:p>
        <w:p w14:paraId="638D79BD" w14:textId="2CED43B4" w:rsidR="00016C34" w:rsidRDefault="00016C34">
          <w:pPr>
            <w:pStyle w:val="Spistreci3"/>
            <w:rPr>
              <w:rFonts w:asciiTheme="minorHAnsi" w:eastAsiaTheme="minorEastAsia" w:hAnsiTheme="minorHAnsi" w:cstheme="minorBidi"/>
              <w:noProof/>
              <w:color w:val="auto"/>
              <w:lang w:eastAsia="pl-PL"/>
            </w:rPr>
          </w:pPr>
          <w:hyperlink w:anchor="_Toc239772084" w:history="1">
            <w:r w:rsidRPr="003A564F">
              <w:rPr>
                <w:rStyle w:val="Hipercze"/>
                <w:noProof/>
              </w:rPr>
              <w:t>Cel operacyjny 2.1. Gotowość cywilna</w:t>
            </w:r>
            <w:r>
              <w:rPr>
                <w:noProof/>
                <w:webHidden/>
              </w:rPr>
              <w:tab/>
            </w:r>
            <w:r>
              <w:rPr>
                <w:noProof/>
                <w:webHidden/>
              </w:rPr>
              <w:fldChar w:fldCharType="begin"/>
            </w:r>
            <w:r>
              <w:rPr>
                <w:noProof/>
                <w:webHidden/>
              </w:rPr>
              <w:instrText xml:space="preserve"> PAGEREF _Toc239772084 \h </w:instrText>
            </w:r>
            <w:r>
              <w:rPr>
                <w:noProof/>
                <w:webHidden/>
              </w:rPr>
            </w:r>
            <w:r>
              <w:rPr>
                <w:noProof/>
                <w:webHidden/>
              </w:rPr>
              <w:fldChar w:fldCharType="separate"/>
            </w:r>
            <w:r>
              <w:rPr>
                <w:noProof/>
                <w:webHidden/>
              </w:rPr>
              <w:t>78</w:t>
            </w:r>
            <w:r>
              <w:rPr>
                <w:noProof/>
                <w:webHidden/>
              </w:rPr>
              <w:fldChar w:fldCharType="end"/>
            </w:r>
          </w:hyperlink>
        </w:p>
        <w:p w14:paraId="45843761" w14:textId="500A4652" w:rsidR="00016C34" w:rsidRDefault="00016C34">
          <w:pPr>
            <w:pStyle w:val="Spistreci3"/>
            <w:rPr>
              <w:rFonts w:asciiTheme="minorHAnsi" w:eastAsiaTheme="minorEastAsia" w:hAnsiTheme="minorHAnsi" w:cstheme="minorBidi"/>
              <w:noProof/>
              <w:color w:val="auto"/>
              <w:lang w:eastAsia="pl-PL"/>
            </w:rPr>
          </w:pPr>
          <w:hyperlink w:anchor="_Toc239772085" w:history="1">
            <w:r w:rsidRPr="003A564F">
              <w:rPr>
                <w:rStyle w:val="Hipercze"/>
                <w:noProof/>
              </w:rPr>
              <w:t>Cel operacyjny 2.2. Cyberbezpieczeństwo</w:t>
            </w:r>
            <w:r>
              <w:rPr>
                <w:noProof/>
                <w:webHidden/>
              </w:rPr>
              <w:tab/>
            </w:r>
            <w:r>
              <w:rPr>
                <w:noProof/>
                <w:webHidden/>
              </w:rPr>
              <w:fldChar w:fldCharType="begin"/>
            </w:r>
            <w:r>
              <w:rPr>
                <w:noProof/>
                <w:webHidden/>
              </w:rPr>
              <w:instrText xml:space="preserve"> PAGEREF _Toc239772085 \h </w:instrText>
            </w:r>
            <w:r>
              <w:rPr>
                <w:noProof/>
                <w:webHidden/>
              </w:rPr>
            </w:r>
            <w:r>
              <w:rPr>
                <w:noProof/>
                <w:webHidden/>
              </w:rPr>
              <w:fldChar w:fldCharType="separate"/>
            </w:r>
            <w:r>
              <w:rPr>
                <w:noProof/>
                <w:webHidden/>
              </w:rPr>
              <w:t>80</w:t>
            </w:r>
            <w:r>
              <w:rPr>
                <w:noProof/>
                <w:webHidden/>
              </w:rPr>
              <w:fldChar w:fldCharType="end"/>
            </w:r>
          </w:hyperlink>
        </w:p>
        <w:p w14:paraId="7C4D5768" w14:textId="564BBE41" w:rsidR="00016C34" w:rsidRDefault="00016C34">
          <w:pPr>
            <w:pStyle w:val="Spistreci3"/>
            <w:rPr>
              <w:rFonts w:asciiTheme="minorHAnsi" w:eastAsiaTheme="minorEastAsia" w:hAnsiTheme="minorHAnsi" w:cstheme="minorBidi"/>
              <w:noProof/>
              <w:color w:val="auto"/>
              <w:lang w:eastAsia="pl-PL"/>
            </w:rPr>
          </w:pPr>
          <w:hyperlink w:anchor="_Toc239772086" w:history="1">
            <w:r w:rsidRPr="003A564F">
              <w:rPr>
                <w:rStyle w:val="Hipercze"/>
                <w:noProof/>
              </w:rPr>
              <w:t>Cel operacyjny 2.3. Adaptacja do zmian klimatu</w:t>
            </w:r>
            <w:r>
              <w:rPr>
                <w:noProof/>
                <w:webHidden/>
              </w:rPr>
              <w:tab/>
            </w:r>
            <w:r>
              <w:rPr>
                <w:noProof/>
                <w:webHidden/>
              </w:rPr>
              <w:fldChar w:fldCharType="begin"/>
            </w:r>
            <w:r>
              <w:rPr>
                <w:noProof/>
                <w:webHidden/>
              </w:rPr>
              <w:instrText xml:space="preserve"> PAGEREF _Toc239772086 \h </w:instrText>
            </w:r>
            <w:r>
              <w:rPr>
                <w:noProof/>
                <w:webHidden/>
              </w:rPr>
            </w:r>
            <w:r>
              <w:rPr>
                <w:noProof/>
                <w:webHidden/>
              </w:rPr>
              <w:fldChar w:fldCharType="separate"/>
            </w:r>
            <w:r>
              <w:rPr>
                <w:noProof/>
                <w:webHidden/>
              </w:rPr>
              <w:t>82</w:t>
            </w:r>
            <w:r>
              <w:rPr>
                <w:noProof/>
                <w:webHidden/>
              </w:rPr>
              <w:fldChar w:fldCharType="end"/>
            </w:r>
          </w:hyperlink>
        </w:p>
        <w:p w14:paraId="3E1F2273" w14:textId="3CD70D2A" w:rsidR="00016C34" w:rsidRDefault="00016C34">
          <w:pPr>
            <w:pStyle w:val="Spistreci3"/>
            <w:rPr>
              <w:rFonts w:asciiTheme="minorHAnsi" w:eastAsiaTheme="minorEastAsia" w:hAnsiTheme="minorHAnsi" w:cstheme="minorBidi"/>
              <w:noProof/>
              <w:color w:val="auto"/>
              <w:lang w:eastAsia="pl-PL"/>
            </w:rPr>
          </w:pPr>
          <w:hyperlink w:anchor="_Toc239772087" w:history="1">
            <w:r w:rsidRPr="003A564F">
              <w:rPr>
                <w:rStyle w:val="Hipercze"/>
                <w:noProof/>
              </w:rPr>
              <w:t>Cel operacyjny 2.4. Kapitał społeczny</w:t>
            </w:r>
            <w:r>
              <w:rPr>
                <w:noProof/>
                <w:webHidden/>
              </w:rPr>
              <w:tab/>
            </w:r>
            <w:r>
              <w:rPr>
                <w:noProof/>
                <w:webHidden/>
              </w:rPr>
              <w:fldChar w:fldCharType="begin"/>
            </w:r>
            <w:r>
              <w:rPr>
                <w:noProof/>
                <w:webHidden/>
              </w:rPr>
              <w:instrText xml:space="preserve"> PAGEREF _Toc239772087 \h </w:instrText>
            </w:r>
            <w:r>
              <w:rPr>
                <w:noProof/>
                <w:webHidden/>
              </w:rPr>
            </w:r>
            <w:r>
              <w:rPr>
                <w:noProof/>
                <w:webHidden/>
              </w:rPr>
              <w:fldChar w:fldCharType="separate"/>
            </w:r>
            <w:r>
              <w:rPr>
                <w:noProof/>
                <w:webHidden/>
              </w:rPr>
              <w:t>85</w:t>
            </w:r>
            <w:r>
              <w:rPr>
                <w:noProof/>
                <w:webHidden/>
              </w:rPr>
              <w:fldChar w:fldCharType="end"/>
            </w:r>
          </w:hyperlink>
        </w:p>
        <w:p w14:paraId="4B795E62" w14:textId="04E6D768" w:rsidR="00016C34" w:rsidRDefault="00016C34">
          <w:pPr>
            <w:pStyle w:val="Spistreci2"/>
            <w:rPr>
              <w:rFonts w:asciiTheme="minorHAnsi" w:eastAsiaTheme="minorEastAsia" w:hAnsiTheme="minorHAnsi" w:cstheme="minorBidi"/>
              <w:noProof/>
              <w:color w:val="auto"/>
              <w:lang w:eastAsia="pl-PL"/>
            </w:rPr>
          </w:pPr>
          <w:hyperlink w:anchor="_Toc239772088" w:history="1">
            <w:r w:rsidRPr="003A564F">
              <w:rPr>
                <w:rStyle w:val="Hipercze"/>
                <w:noProof/>
              </w:rPr>
              <w:t>Cel strategiczny 3. Wieloośrodkowe Pomorze</w:t>
            </w:r>
            <w:r>
              <w:rPr>
                <w:noProof/>
                <w:webHidden/>
              </w:rPr>
              <w:tab/>
            </w:r>
            <w:r>
              <w:rPr>
                <w:noProof/>
                <w:webHidden/>
              </w:rPr>
              <w:fldChar w:fldCharType="begin"/>
            </w:r>
            <w:r>
              <w:rPr>
                <w:noProof/>
                <w:webHidden/>
              </w:rPr>
              <w:instrText xml:space="preserve"> PAGEREF _Toc239772088 \h </w:instrText>
            </w:r>
            <w:r>
              <w:rPr>
                <w:noProof/>
                <w:webHidden/>
              </w:rPr>
            </w:r>
            <w:r>
              <w:rPr>
                <w:noProof/>
                <w:webHidden/>
              </w:rPr>
              <w:fldChar w:fldCharType="separate"/>
            </w:r>
            <w:r>
              <w:rPr>
                <w:noProof/>
                <w:webHidden/>
              </w:rPr>
              <w:t>87</w:t>
            </w:r>
            <w:r>
              <w:rPr>
                <w:noProof/>
                <w:webHidden/>
              </w:rPr>
              <w:fldChar w:fldCharType="end"/>
            </w:r>
          </w:hyperlink>
        </w:p>
        <w:p w14:paraId="0A26AFD2" w14:textId="53728913" w:rsidR="00016C34" w:rsidRDefault="00016C34">
          <w:pPr>
            <w:pStyle w:val="Spistreci3"/>
            <w:rPr>
              <w:rFonts w:asciiTheme="minorHAnsi" w:eastAsiaTheme="minorEastAsia" w:hAnsiTheme="minorHAnsi" w:cstheme="minorBidi"/>
              <w:noProof/>
              <w:color w:val="auto"/>
              <w:lang w:eastAsia="pl-PL"/>
            </w:rPr>
          </w:pPr>
          <w:hyperlink w:anchor="_Toc239772089" w:history="1">
            <w:r w:rsidRPr="003A564F">
              <w:rPr>
                <w:rStyle w:val="Hipercze"/>
                <w:noProof/>
              </w:rPr>
              <w:t>Przesłanki realizacji Celu strategicznego 3.</w:t>
            </w:r>
            <w:r>
              <w:rPr>
                <w:noProof/>
                <w:webHidden/>
              </w:rPr>
              <w:tab/>
            </w:r>
            <w:r>
              <w:rPr>
                <w:noProof/>
                <w:webHidden/>
              </w:rPr>
              <w:fldChar w:fldCharType="begin"/>
            </w:r>
            <w:r>
              <w:rPr>
                <w:noProof/>
                <w:webHidden/>
              </w:rPr>
              <w:instrText xml:space="preserve"> PAGEREF _Toc239772089 \h </w:instrText>
            </w:r>
            <w:r>
              <w:rPr>
                <w:noProof/>
                <w:webHidden/>
              </w:rPr>
            </w:r>
            <w:r>
              <w:rPr>
                <w:noProof/>
                <w:webHidden/>
              </w:rPr>
              <w:fldChar w:fldCharType="separate"/>
            </w:r>
            <w:r>
              <w:rPr>
                <w:noProof/>
                <w:webHidden/>
              </w:rPr>
              <w:t>87</w:t>
            </w:r>
            <w:r>
              <w:rPr>
                <w:noProof/>
                <w:webHidden/>
              </w:rPr>
              <w:fldChar w:fldCharType="end"/>
            </w:r>
          </w:hyperlink>
        </w:p>
        <w:p w14:paraId="0933B314" w14:textId="0FE29F9F" w:rsidR="00016C34" w:rsidRDefault="00016C34">
          <w:pPr>
            <w:pStyle w:val="Spistreci3"/>
            <w:rPr>
              <w:rFonts w:asciiTheme="minorHAnsi" w:eastAsiaTheme="minorEastAsia" w:hAnsiTheme="minorHAnsi" w:cstheme="minorBidi"/>
              <w:noProof/>
              <w:color w:val="auto"/>
              <w:lang w:eastAsia="pl-PL"/>
            </w:rPr>
          </w:pPr>
          <w:hyperlink w:anchor="_Toc239772090" w:history="1">
            <w:r w:rsidRPr="003A564F">
              <w:rPr>
                <w:rStyle w:val="Hipercze"/>
                <w:noProof/>
              </w:rPr>
              <w:t>Pożądany kierunek zmian CS 3.</w:t>
            </w:r>
            <w:r>
              <w:rPr>
                <w:noProof/>
                <w:webHidden/>
              </w:rPr>
              <w:tab/>
            </w:r>
            <w:r>
              <w:rPr>
                <w:noProof/>
                <w:webHidden/>
              </w:rPr>
              <w:fldChar w:fldCharType="begin"/>
            </w:r>
            <w:r>
              <w:rPr>
                <w:noProof/>
                <w:webHidden/>
              </w:rPr>
              <w:instrText xml:space="preserve"> PAGEREF _Toc239772090 \h </w:instrText>
            </w:r>
            <w:r>
              <w:rPr>
                <w:noProof/>
                <w:webHidden/>
              </w:rPr>
            </w:r>
            <w:r>
              <w:rPr>
                <w:noProof/>
                <w:webHidden/>
              </w:rPr>
              <w:fldChar w:fldCharType="separate"/>
            </w:r>
            <w:r>
              <w:rPr>
                <w:noProof/>
                <w:webHidden/>
              </w:rPr>
              <w:t>88</w:t>
            </w:r>
            <w:r>
              <w:rPr>
                <w:noProof/>
                <w:webHidden/>
              </w:rPr>
              <w:fldChar w:fldCharType="end"/>
            </w:r>
          </w:hyperlink>
        </w:p>
        <w:p w14:paraId="1F69CB0D" w14:textId="4C609BB6" w:rsidR="00016C34" w:rsidRDefault="00016C34">
          <w:pPr>
            <w:pStyle w:val="Spistreci3"/>
            <w:rPr>
              <w:rFonts w:asciiTheme="minorHAnsi" w:eastAsiaTheme="minorEastAsia" w:hAnsiTheme="minorHAnsi" w:cstheme="minorBidi"/>
              <w:noProof/>
              <w:color w:val="auto"/>
              <w:lang w:eastAsia="pl-PL"/>
            </w:rPr>
          </w:pPr>
          <w:hyperlink w:anchor="_Toc239772091" w:history="1">
            <w:r w:rsidRPr="003A564F">
              <w:rPr>
                <w:rStyle w:val="Hipercze"/>
                <w:rFonts w:cstheme="minorHAnsi"/>
                <w:noProof/>
              </w:rPr>
              <w:t xml:space="preserve">Cel operacyjny 3.1. </w:t>
            </w:r>
            <w:r w:rsidRPr="003A564F">
              <w:rPr>
                <w:rStyle w:val="Hipercze"/>
                <w:noProof/>
              </w:rPr>
              <w:t>Mocna marka obszaru metropolitalnego</w:t>
            </w:r>
            <w:r>
              <w:rPr>
                <w:noProof/>
                <w:webHidden/>
              </w:rPr>
              <w:tab/>
            </w:r>
            <w:r>
              <w:rPr>
                <w:noProof/>
                <w:webHidden/>
              </w:rPr>
              <w:fldChar w:fldCharType="begin"/>
            </w:r>
            <w:r>
              <w:rPr>
                <w:noProof/>
                <w:webHidden/>
              </w:rPr>
              <w:instrText xml:space="preserve"> PAGEREF _Toc239772091 \h </w:instrText>
            </w:r>
            <w:r>
              <w:rPr>
                <w:noProof/>
                <w:webHidden/>
              </w:rPr>
            </w:r>
            <w:r>
              <w:rPr>
                <w:noProof/>
                <w:webHidden/>
              </w:rPr>
              <w:fldChar w:fldCharType="separate"/>
            </w:r>
            <w:r>
              <w:rPr>
                <w:noProof/>
                <w:webHidden/>
              </w:rPr>
              <w:t>89</w:t>
            </w:r>
            <w:r>
              <w:rPr>
                <w:noProof/>
                <w:webHidden/>
              </w:rPr>
              <w:fldChar w:fldCharType="end"/>
            </w:r>
          </w:hyperlink>
        </w:p>
        <w:p w14:paraId="389F81D2" w14:textId="5DDDF0B5" w:rsidR="00016C34" w:rsidRDefault="00016C34">
          <w:pPr>
            <w:pStyle w:val="Spistreci3"/>
            <w:rPr>
              <w:rFonts w:asciiTheme="minorHAnsi" w:eastAsiaTheme="minorEastAsia" w:hAnsiTheme="minorHAnsi" w:cstheme="minorBidi"/>
              <w:noProof/>
              <w:color w:val="auto"/>
              <w:lang w:eastAsia="pl-PL"/>
            </w:rPr>
          </w:pPr>
          <w:hyperlink w:anchor="_Toc239772092" w:history="1">
            <w:r w:rsidRPr="003A564F">
              <w:rPr>
                <w:rStyle w:val="Hipercze"/>
                <w:rFonts w:eastAsia="Aptos"/>
                <w:noProof/>
              </w:rPr>
              <w:t>Cel operacyjny 3.2. Nowoczesna lokalność</w:t>
            </w:r>
            <w:r>
              <w:rPr>
                <w:noProof/>
                <w:webHidden/>
              </w:rPr>
              <w:tab/>
            </w:r>
            <w:r>
              <w:rPr>
                <w:noProof/>
                <w:webHidden/>
              </w:rPr>
              <w:fldChar w:fldCharType="begin"/>
            </w:r>
            <w:r>
              <w:rPr>
                <w:noProof/>
                <w:webHidden/>
              </w:rPr>
              <w:instrText xml:space="preserve"> PAGEREF _Toc239772092 \h </w:instrText>
            </w:r>
            <w:r>
              <w:rPr>
                <w:noProof/>
                <w:webHidden/>
              </w:rPr>
            </w:r>
            <w:r>
              <w:rPr>
                <w:noProof/>
                <w:webHidden/>
              </w:rPr>
              <w:fldChar w:fldCharType="separate"/>
            </w:r>
            <w:r>
              <w:rPr>
                <w:noProof/>
                <w:webHidden/>
              </w:rPr>
              <w:t>91</w:t>
            </w:r>
            <w:r>
              <w:rPr>
                <w:noProof/>
                <w:webHidden/>
              </w:rPr>
              <w:fldChar w:fldCharType="end"/>
            </w:r>
          </w:hyperlink>
        </w:p>
        <w:p w14:paraId="5A4435CC" w14:textId="0749A44A" w:rsidR="00016C34" w:rsidRDefault="00016C34">
          <w:pPr>
            <w:pStyle w:val="Spistreci3"/>
            <w:rPr>
              <w:rFonts w:asciiTheme="minorHAnsi" w:eastAsiaTheme="minorEastAsia" w:hAnsiTheme="minorHAnsi" w:cstheme="minorBidi"/>
              <w:noProof/>
              <w:color w:val="auto"/>
              <w:lang w:eastAsia="pl-PL"/>
            </w:rPr>
          </w:pPr>
          <w:hyperlink w:anchor="_Toc239772093" w:history="1">
            <w:r w:rsidRPr="003A564F">
              <w:rPr>
                <w:rStyle w:val="Hipercze"/>
                <w:noProof/>
              </w:rPr>
              <w:t>Cel operacyjny 3.3. Połączone Pomorze</w:t>
            </w:r>
            <w:r>
              <w:rPr>
                <w:noProof/>
                <w:webHidden/>
              </w:rPr>
              <w:tab/>
            </w:r>
            <w:r>
              <w:rPr>
                <w:noProof/>
                <w:webHidden/>
              </w:rPr>
              <w:fldChar w:fldCharType="begin"/>
            </w:r>
            <w:r>
              <w:rPr>
                <w:noProof/>
                <w:webHidden/>
              </w:rPr>
              <w:instrText xml:space="preserve"> PAGEREF _Toc239772093 \h </w:instrText>
            </w:r>
            <w:r>
              <w:rPr>
                <w:noProof/>
                <w:webHidden/>
              </w:rPr>
            </w:r>
            <w:r>
              <w:rPr>
                <w:noProof/>
                <w:webHidden/>
              </w:rPr>
              <w:fldChar w:fldCharType="separate"/>
            </w:r>
            <w:r>
              <w:rPr>
                <w:noProof/>
                <w:webHidden/>
              </w:rPr>
              <w:t>94</w:t>
            </w:r>
            <w:r>
              <w:rPr>
                <w:noProof/>
                <w:webHidden/>
              </w:rPr>
              <w:fldChar w:fldCharType="end"/>
            </w:r>
          </w:hyperlink>
        </w:p>
        <w:p w14:paraId="05D0AB27" w14:textId="6C02D3B7" w:rsidR="00016C34" w:rsidRDefault="00016C34">
          <w:pPr>
            <w:pStyle w:val="Spistreci3"/>
            <w:rPr>
              <w:rFonts w:asciiTheme="minorHAnsi" w:eastAsiaTheme="minorEastAsia" w:hAnsiTheme="minorHAnsi" w:cstheme="minorBidi"/>
              <w:noProof/>
              <w:color w:val="auto"/>
              <w:lang w:eastAsia="pl-PL"/>
            </w:rPr>
          </w:pPr>
          <w:hyperlink w:anchor="_Toc239772094" w:history="1">
            <w:r w:rsidRPr="003A564F">
              <w:rPr>
                <w:rStyle w:val="Hipercze"/>
                <w:noProof/>
              </w:rPr>
              <w:t>Cel operacyjny 3.4. Przestrzeń dla społeczności</w:t>
            </w:r>
            <w:r>
              <w:rPr>
                <w:noProof/>
                <w:webHidden/>
              </w:rPr>
              <w:tab/>
            </w:r>
            <w:r>
              <w:rPr>
                <w:noProof/>
                <w:webHidden/>
              </w:rPr>
              <w:fldChar w:fldCharType="begin"/>
            </w:r>
            <w:r>
              <w:rPr>
                <w:noProof/>
                <w:webHidden/>
              </w:rPr>
              <w:instrText xml:space="preserve"> PAGEREF _Toc239772094 \h </w:instrText>
            </w:r>
            <w:r>
              <w:rPr>
                <w:noProof/>
                <w:webHidden/>
              </w:rPr>
            </w:r>
            <w:r>
              <w:rPr>
                <w:noProof/>
                <w:webHidden/>
              </w:rPr>
              <w:fldChar w:fldCharType="separate"/>
            </w:r>
            <w:r>
              <w:rPr>
                <w:noProof/>
                <w:webHidden/>
              </w:rPr>
              <w:t>96</w:t>
            </w:r>
            <w:r>
              <w:rPr>
                <w:noProof/>
                <w:webHidden/>
              </w:rPr>
              <w:fldChar w:fldCharType="end"/>
            </w:r>
          </w:hyperlink>
        </w:p>
        <w:p w14:paraId="3142BB0E" w14:textId="46BDD646" w:rsidR="00016C34" w:rsidRDefault="00016C34">
          <w:pPr>
            <w:pStyle w:val="Spistreci2"/>
            <w:rPr>
              <w:rFonts w:asciiTheme="minorHAnsi" w:eastAsiaTheme="minorEastAsia" w:hAnsiTheme="minorHAnsi" w:cstheme="minorBidi"/>
              <w:noProof/>
              <w:color w:val="auto"/>
              <w:lang w:eastAsia="pl-PL"/>
            </w:rPr>
          </w:pPr>
          <w:hyperlink w:anchor="_Toc239772095" w:history="1">
            <w:r w:rsidRPr="003A564F">
              <w:rPr>
                <w:rStyle w:val="Hipercze"/>
                <w:noProof/>
              </w:rPr>
              <w:t>Cel strategiczny 4. Pomorze stabilne demograficznie</w:t>
            </w:r>
            <w:r>
              <w:rPr>
                <w:noProof/>
                <w:webHidden/>
              </w:rPr>
              <w:tab/>
            </w:r>
            <w:r>
              <w:rPr>
                <w:noProof/>
                <w:webHidden/>
              </w:rPr>
              <w:fldChar w:fldCharType="begin"/>
            </w:r>
            <w:r>
              <w:rPr>
                <w:noProof/>
                <w:webHidden/>
              </w:rPr>
              <w:instrText xml:space="preserve"> PAGEREF _Toc239772095 \h </w:instrText>
            </w:r>
            <w:r>
              <w:rPr>
                <w:noProof/>
                <w:webHidden/>
              </w:rPr>
            </w:r>
            <w:r>
              <w:rPr>
                <w:noProof/>
                <w:webHidden/>
              </w:rPr>
              <w:fldChar w:fldCharType="separate"/>
            </w:r>
            <w:r>
              <w:rPr>
                <w:noProof/>
                <w:webHidden/>
              </w:rPr>
              <w:t>98</w:t>
            </w:r>
            <w:r>
              <w:rPr>
                <w:noProof/>
                <w:webHidden/>
              </w:rPr>
              <w:fldChar w:fldCharType="end"/>
            </w:r>
          </w:hyperlink>
        </w:p>
        <w:p w14:paraId="680ED14A" w14:textId="45B7A78A" w:rsidR="00016C34" w:rsidRDefault="00016C34">
          <w:pPr>
            <w:pStyle w:val="Spistreci3"/>
            <w:rPr>
              <w:rFonts w:asciiTheme="minorHAnsi" w:eastAsiaTheme="minorEastAsia" w:hAnsiTheme="minorHAnsi" w:cstheme="minorBidi"/>
              <w:noProof/>
              <w:color w:val="auto"/>
              <w:lang w:eastAsia="pl-PL"/>
            </w:rPr>
          </w:pPr>
          <w:hyperlink w:anchor="_Toc239772096" w:history="1">
            <w:r w:rsidRPr="003A564F">
              <w:rPr>
                <w:rStyle w:val="Hipercze"/>
                <w:rFonts w:eastAsia="Aptos" w:cs="Aptos"/>
                <w:noProof/>
              </w:rPr>
              <w:t>Cel operacyjny 4.1</w:t>
            </w:r>
            <w:r w:rsidRPr="003A564F">
              <w:rPr>
                <w:rStyle w:val="Hipercze"/>
                <w:noProof/>
              </w:rPr>
              <w:t>. Zdrowie i wsparcie blisko mieszkańca</w:t>
            </w:r>
            <w:r>
              <w:rPr>
                <w:noProof/>
                <w:webHidden/>
              </w:rPr>
              <w:tab/>
            </w:r>
            <w:r>
              <w:rPr>
                <w:noProof/>
                <w:webHidden/>
              </w:rPr>
              <w:fldChar w:fldCharType="begin"/>
            </w:r>
            <w:r>
              <w:rPr>
                <w:noProof/>
                <w:webHidden/>
              </w:rPr>
              <w:instrText xml:space="preserve"> PAGEREF _Toc239772096 \h </w:instrText>
            </w:r>
            <w:r>
              <w:rPr>
                <w:noProof/>
                <w:webHidden/>
              </w:rPr>
            </w:r>
            <w:r>
              <w:rPr>
                <w:noProof/>
                <w:webHidden/>
              </w:rPr>
              <w:fldChar w:fldCharType="separate"/>
            </w:r>
            <w:r>
              <w:rPr>
                <w:noProof/>
                <w:webHidden/>
              </w:rPr>
              <w:t>99</w:t>
            </w:r>
            <w:r>
              <w:rPr>
                <w:noProof/>
                <w:webHidden/>
              </w:rPr>
              <w:fldChar w:fldCharType="end"/>
            </w:r>
          </w:hyperlink>
        </w:p>
        <w:p w14:paraId="1B7FEF7B" w14:textId="5DD8C144" w:rsidR="00016C34" w:rsidRDefault="00016C34">
          <w:pPr>
            <w:pStyle w:val="Spistreci3"/>
            <w:rPr>
              <w:rFonts w:asciiTheme="minorHAnsi" w:eastAsiaTheme="minorEastAsia" w:hAnsiTheme="minorHAnsi" w:cstheme="minorBidi"/>
              <w:noProof/>
              <w:color w:val="auto"/>
              <w:lang w:eastAsia="pl-PL"/>
            </w:rPr>
          </w:pPr>
          <w:hyperlink w:anchor="_Toc239772097" w:history="1">
            <w:r w:rsidRPr="003A564F">
              <w:rPr>
                <w:rStyle w:val="Hipercze"/>
                <w:noProof/>
              </w:rPr>
              <w:t>Cel operacyjny 4.2. Region atrakcyjny osiedleńczo</w:t>
            </w:r>
            <w:r>
              <w:rPr>
                <w:noProof/>
                <w:webHidden/>
              </w:rPr>
              <w:tab/>
            </w:r>
            <w:r>
              <w:rPr>
                <w:noProof/>
                <w:webHidden/>
              </w:rPr>
              <w:fldChar w:fldCharType="begin"/>
            </w:r>
            <w:r>
              <w:rPr>
                <w:noProof/>
                <w:webHidden/>
              </w:rPr>
              <w:instrText xml:space="preserve"> PAGEREF _Toc239772097 \h </w:instrText>
            </w:r>
            <w:r>
              <w:rPr>
                <w:noProof/>
                <w:webHidden/>
              </w:rPr>
            </w:r>
            <w:r>
              <w:rPr>
                <w:noProof/>
                <w:webHidden/>
              </w:rPr>
              <w:fldChar w:fldCharType="separate"/>
            </w:r>
            <w:r>
              <w:rPr>
                <w:noProof/>
                <w:webHidden/>
              </w:rPr>
              <w:t>102</w:t>
            </w:r>
            <w:r>
              <w:rPr>
                <w:noProof/>
                <w:webHidden/>
              </w:rPr>
              <w:fldChar w:fldCharType="end"/>
            </w:r>
          </w:hyperlink>
        </w:p>
        <w:p w14:paraId="1613153B" w14:textId="12751380" w:rsidR="00016C34" w:rsidRDefault="00016C34">
          <w:pPr>
            <w:pStyle w:val="Spistreci1"/>
            <w:rPr>
              <w:rFonts w:asciiTheme="minorHAnsi" w:eastAsiaTheme="minorEastAsia" w:hAnsiTheme="minorHAnsi" w:cstheme="minorBidi"/>
              <w:noProof/>
              <w:color w:val="auto"/>
              <w:lang w:eastAsia="pl-PL"/>
            </w:rPr>
          </w:pPr>
          <w:hyperlink w:anchor="_Toc239772098" w:history="1">
            <w:r w:rsidRPr="003A564F">
              <w:rPr>
                <w:rStyle w:val="Hipercze"/>
                <w:noProof/>
              </w:rPr>
              <w:t>V.</w:t>
            </w:r>
            <w:r>
              <w:rPr>
                <w:rFonts w:asciiTheme="minorHAnsi" w:eastAsiaTheme="minorEastAsia" w:hAnsiTheme="minorHAnsi" w:cstheme="minorBidi"/>
                <w:noProof/>
                <w:color w:val="auto"/>
                <w:lang w:eastAsia="pl-PL"/>
              </w:rPr>
              <w:tab/>
            </w:r>
            <w:r w:rsidRPr="003A564F">
              <w:rPr>
                <w:rStyle w:val="Hipercze"/>
                <w:noProof/>
              </w:rPr>
              <w:t>Model struktury funkcjonalno-przestrzennej</w:t>
            </w:r>
            <w:r>
              <w:rPr>
                <w:noProof/>
                <w:webHidden/>
              </w:rPr>
              <w:tab/>
            </w:r>
            <w:r>
              <w:rPr>
                <w:noProof/>
                <w:webHidden/>
              </w:rPr>
              <w:fldChar w:fldCharType="begin"/>
            </w:r>
            <w:r>
              <w:rPr>
                <w:noProof/>
                <w:webHidden/>
              </w:rPr>
              <w:instrText xml:space="preserve"> PAGEREF _Toc239772098 \h </w:instrText>
            </w:r>
            <w:r>
              <w:rPr>
                <w:noProof/>
                <w:webHidden/>
              </w:rPr>
            </w:r>
            <w:r>
              <w:rPr>
                <w:noProof/>
                <w:webHidden/>
              </w:rPr>
              <w:fldChar w:fldCharType="separate"/>
            </w:r>
            <w:r>
              <w:rPr>
                <w:noProof/>
                <w:webHidden/>
              </w:rPr>
              <w:t>104</w:t>
            </w:r>
            <w:r>
              <w:rPr>
                <w:noProof/>
                <w:webHidden/>
              </w:rPr>
              <w:fldChar w:fldCharType="end"/>
            </w:r>
          </w:hyperlink>
        </w:p>
        <w:p w14:paraId="75224036" w14:textId="4AACF5AA" w:rsidR="00016C34" w:rsidRDefault="00016C34">
          <w:pPr>
            <w:pStyle w:val="Spistreci1"/>
            <w:rPr>
              <w:rFonts w:asciiTheme="minorHAnsi" w:eastAsiaTheme="minorEastAsia" w:hAnsiTheme="minorHAnsi" w:cstheme="minorBidi"/>
              <w:noProof/>
              <w:color w:val="auto"/>
              <w:lang w:eastAsia="pl-PL"/>
            </w:rPr>
          </w:pPr>
          <w:hyperlink w:anchor="_Toc239772099" w:history="1">
            <w:r w:rsidRPr="003A564F">
              <w:rPr>
                <w:rStyle w:val="Hipercze"/>
                <w:noProof/>
              </w:rPr>
              <w:t>VI.</w:t>
            </w:r>
            <w:r>
              <w:rPr>
                <w:rFonts w:asciiTheme="minorHAnsi" w:eastAsiaTheme="minorEastAsia" w:hAnsiTheme="minorHAnsi" w:cstheme="minorBidi"/>
                <w:noProof/>
                <w:color w:val="auto"/>
                <w:lang w:eastAsia="pl-PL"/>
              </w:rPr>
              <w:tab/>
            </w:r>
            <w:r w:rsidRPr="003A564F">
              <w:rPr>
                <w:rStyle w:val="Hipercze"/>
                <w:noProof/>
              </w:rPr>
              <w:t>Ustalenia i rekomendacje w zakresie kształtowania i prowadzenia polityki przestrzennej</w:t>
            </w:r>
            <w:r>
              <w:rPr>
                <w:noProof/>
                <w:webHidden/>
              </w:rPr>
              <w:tab/>
            </w:r>
            <w:r>
              <w:rPr>
                <w:noProof/>
                <w:webHidden/>
              </w:rPr>
              <w:fldChar w:fldCharType="begin"/>
            </w:r>
            <w:r>
              <w:rPr>
                <w:noProof/>
                <w:webHidden/>
              </w:rPr>
              <w:instrText xml:space="preserve"> PAGEREF _Toc239772099 \h </w:instrText>
            </w:r>
            <w:r>
              <w:rPr>
                <w:noProof/>
                <w:webHidden/>
              </w:rPr>
            </w:r>
            <w:r>
              <w:rPr>
                <w:noProof/>
                <w:webHidden/>
              </w:rPr>
              <w:fldChar w:fldCharType="separate"/>
            </w:r>
            <w:r>
              <w:rPr>
                <w:noProof/>
                <w:webHidden/>
              </w:rPr>
              <w:t>115</w:t>
            </w:r>
            <w:r>
              <w:rPr>
                <w:noProof/>
                <w:webHidden/>
              </w:rPr>
              <w:fldChar w:fldCharType="end"/>
            </w:r>
          </w:hyperlink>
        </w:p>
        <w:p w14:paraId="3E065845" w14:textId="47B2F05F" w:rsidR="00016C34" w:rsidRDefault="00016C34">
          <w:pPr>
            <w:pStyle w:val="Spistreci2"/>
            <w:rPr>
              <w:rFonts w:asciiTheme="minorHAnsi" w:eastAsiaTheme="minorEastAsia" w:hAnsiTheme="minorHAnsi" w:cstheme="minorBidi"/>
              <w:noProof/>
              <w:color w:val="auto"/>
              <w:lang w:eastAsia="pl-PL"/>
            </w:rPr>
          </w:pPr>
          <w:hyperlink w:anchor="_Toc239772100" w:history="1">
            <w:r w:rsidRPr="003A564F">
              <w:rPr>
                <w:rStyle w:val="Hipercze"/>
                <w:noProof/>
                <w:lang w:eastAsia="pl-PL"/>
              </w:rPr>
              <w:t>Sieć osadnicza</w:t>
            </w:r>
            <w:r>
              <w:rPr>
                <w:noProof/>
                <w:webHidden/>
              </w:rPr>
              <w:tab/>
            </w:r>
            <w:r>
              <w:rPr>
                <w:noProof/>
                <w:webHidden/>
              </w:rPr>
              <w:fldChar w:fldCharType="begin"/>
            </w:r>
            <w:r>
              <w:rPr>
                <w:noProof/>
                <w:webHidden/>
              </w:rPr>
              <w:instrText xml:space="preserve"> PAGEREF _Toc239772100 \h </w:instrText>
            </w:r>
            <w:r>
              <w:rPr>
                <w:noProof/>
                <w:webHidden/>
              </w:rPr>
            </w:r>
            <w:r>
              <w:rPr>
                <w:noProof/>
                <w:webHidden/>
              </w:rPr>
              <w:fldChar w:fldCharType="separate"/>
            </w:r>
            <w:r>
              <w:rPr>
                <w:noProof/>
                <w:webHidden/>
              </w:rPr>
              <w:t>116</w:t>
            </w:r>
            <w:r>
              <w:rPr>
                <w:noProof/>
                <w:webHidden/>
              </w:rPr>
              <w:fldChar w:fldCharType="end"/>
            </w:r>
          </w:hyperlink>
        </w:p>
        <w:p w14:paraId="14752443" w14:textId="71A42831" w:rsidR="00016C34" w:rsidRDefault="00016C34">
          <w:pPr>
            <w:pStyle w:val="Spistreci2"/>
            <w:rPr>
              <w:rFonts w:asciiTheme="minorHAnsi" w:eastAsiaTheme="minorEastAsia" w:hAnsiTheme="minorHAnsi" w:cstheme="minorBidi"/>
              <w:noProof/>
              <w:color w:val="auto"/>
              <w:lang w:eastAsia="pl-PL"/>
            </w:rPr>
          </w:pPr>
          <w:hyperlink w:anchor="_Toc239772101" w:history="1">
            <w:r w:rsidRPr="003A564F">
              <w:rPr>
                <w:rStyle w:val="Hipercze"/>
                <w:noProof/>
                <w:lang w:eastAsia="pl-PL"/>
              </w:rPr>
              <w:t>Funkcje i usługi</w:t>
            </w:r>
            <w:r>
              <w:rPr>
                <w:noProof/>
                <w:webHidden/>
              </w:rPr>
              <w:tab/>
            </w:r>
            <w:r>
              <w:rPr>
                <w:noProof/>
                <w:webHidden/>
              </w:rPr>
              <w:fldChar w:fldCharType="begin"/>
            </w:r>
            <w:r>
              <w:rPr>
                <w:noProof/>
                <w:webHidden/>
              </w:rPr>
              <w:instrText xml:space="preserve"> PAGEREF _Toc239772101 \h </w:instrText>
            </w:r>
            <w:r>
              <w:rPr>
                <w:noProof/>
                <w:webHidden/>
              </w:rPr>
            </w:r>
            <w:r>
              <w:rPr>
                <w:noProof/>
                <w:webHidden/>
              </w:rPr>
              <w:fldChar w:fldCharType="separate"/>
            </w:r>
            <w:r>
              <w:rPr>
                <w:noProof/>
                <w:webHidden/>
              </w:rPr>
              <w:t>117</w:t>
            </w:r>
            <w:r>
              <w:rPr>
                <w:noProof/>
                <w:webHidden/>
              </w:rPr>
              <w:fldChar w:fldCharType="end"/>
            </w:r>
          </w:hyperlink>
        </w:p>
        <w:p w14:paraId="6CFCE5F8" w14:textId="357FCB11" w:rsidR="00016C34" w:rsidRDefault="00016C34">
          <w:pPr>
            <w:pStyle w:val="Spistreci2"/>
            <w:rPr>
              <w:rFonts w:asciiTheme="minorHAnsi" w:eastAsiaTheme="minorEastAsia" w:hAnsiTheme="minorHAnsi" w:cstheme="minorBidi"/>
              <w:noProof/>
              <w:color w:val="auto"/>
              <w:lang w:eastAsia="pl-PL"/>
            </w:rPr>
          </w:pPr>
          <w:hyperlink w:anchor="_Toc239772102" w:history="1">
            <w:r w:rsidRPr="003A564F">
              <w:rPr>
                <w:rStyle w:val="Hipercze"/>
                <w:noProof/>
                <w:lang w:eastAsia="pl-PL"/>
              </w:rPr>
              <w:t>Środowisko i klimat</w:t>
            </w:r>
            <w:r>
              <w:rPr>
                <w:noProof/>
                <w:webHidden/>
              </w:rPr>
              <w:tab/>
            </w:r>
            <w:r>
              <w:rPr>
                <w:noProof/>
                <w:webHidden/>
              </w:rPr>
              <w:fldChar w:fldCharType="begin"/>
            </w:r>
            <w:r>
              <w:rPr>
                <w:noProof/>
                <w:webHidden/>
              </w:rPr>
              <w:instrText xml:space="preserve"> PAGEREF _Toc239772102 \h </w:instrText>
            </w:r>
            <w:r>
              <w:rPr>
                <w:noProof/>
                <w:webHidden/>
              </w:rPr>
            </w:r>
            <w:r>
              <w:rPr>
                <w:noProof/>
                <w:webHidden/>
              </w:rPr>
              <w:fldChar w:fldCharType="separate"/>
            </w:r>
            <w:r>
              <w:rPr>
                <w:noProof/>
                <w:webHidden/>
              </w:rPr>
              <w:t>117</w:t>
            </w:r>
            <w:r>
              <w:rPr>
                <w:noProof/>
                <w:webHidden/>
              </w:rPr>
              <w:fldChar w:fldCharType="end"/>
            </w:r>
          </w:hyperlink>
        </w:p>
        <w:p w14:paraId="3D0F4DCF" w14:textId="05165DA0" w:rsidR="00016C34" w:rsidRDefault="00016C34">
          <w:pPr>
            <w:pStyle w:val="Spistreci2"/>
            <w:rPr>
              <w:rFonts w:asciiTheme="minorHAnsi" w:eastAsiaTheme="minorEastAsia" w:hAnsiTheme="minorHAnsi" w:cstheme="minorBidi"/>
              <w:noProof/>
              <w:color w:val="auto"/>
              <w:lang w:eastAsia="pl-PL"/>
            </w:rPr>
          </w:pPr>
          <w:hyperlink w:anchor="_Toc239772103" w:history="1">
            <w:r w:rsidRPr="003A564F">
              <w:rPr>
                <w:rStyle w:val="Hipercze"/>
                <w:noProof/>
                <w:lang w:eastAsia="pl-PL"/>
              </w:rPr>
              <w:t>Energia</w:t>
            </w:r>
            <w:r>
              <w:rPr>
                <w:noProof/>
                <w:webHidden/>
              </w:rPr>
              <w:tab/>
            </w:r>
            <w:r>
              <w:rPr>
                <w:noProof/>
                <w:webHidden/>
              </w:rPr>
              <w:fldChar w:fldCharType="begin"/>
            </w:r>
            <w:r>
              <w:rPr>
                <w:noProof/>
                <w:webHidden/>
              </w:rPr>
              <w:instrText xml:space="preserve"> PAGEREF _Toc239772103 \h </w:instrText>
            </w:r>
            <w:r>
              <w:rPr>
                <w:noProof/>
                <w:webHidden/>
              </w:rPr>
            </w:r>
            <w:r>
              <w:rPr>
                <w:noProof/>
                <w:webHidden/>
              </w:rPr>
              <w:fldChar w:fldCharType="separate"/>
            </w:r>
            <w:r>
              <w:rPr>
                <w:noProof/>
                <w:webHidden/>
              </w:rPr>
              <w:t>118</w:t>
            </w:r>
            <w:r>
              <w:rPr>
                <w:noProof/>
                <w:webHidden/>
              </w:rPr>
              <w:fldChar w:fldCharType="end"/>
            </w:r>
          </w:hyperlink>
        </w:p>
        <w:p w14:paraId="0F28DBA3" w14:textId="4C460728" w:rsidR="00016C34" w:rsidRDefault="00016C34">
          <w:pPr>
            <w:pStyle w:val="Spistreci2"/>
            <w:rPr>
              <w:rFonts w:asciiTheme="minorHAnsi" w:eastAsiaTheme="minorEastAsia" w:hAnsiTheme="minorHAnsi" w:cstheme="minorBidi"/>
              <w:noProof/>
              <w:color w:val="auto"/>
              <w:lang w:eastAsia="pl-PL"/>
            </w:rPr>
          </w:pPr>
          <w:hyperlink w:anchor="_Toc239772104" w:history="1">
            <w:r w:rsidRPr="003A564F">
              <w:rPr>
                <w:rStyle w:val="Hipercze"/>
                <w:noProof/>
                <w:lang w:eastAsia="pl-PL"/>
              </w:rPr>
              <w:t>Mobilność</w:t>
            </w:r>
            <w:r>
              <w:rPr>
                <w:noProof/>
                <w:webHidden/>
              </w:rPr>
              <w:tab/>
            </w:r>
            <w:r>
              <w:rPr>
                <w:noProof/>
                <w:webHidden/>
              </w:rPr>
              <w:fldChar w:fldCharType="begin"/>
            </w:r>
            <w:r>
              <w:rPr>
                <w:noProof/>
                <w:webHidden/>
              </w:rPr>
              <w:instrText xml:space="preserve"> PAGEREF _Toc239772104 \h </w:instrText>
            </w:r>
            <w:r>
              <w:rPr>
                <w:noProof/>
                <w:webHidden/>
              </w:rPr>
            </w:r>
            <w:r>
              <w:rPr>
                <w:noProof/>
                <w:webHidden/>
              </w:rPr>
              <w:fldChar w:fldCharType="separate"/>
            </w:r>
            <w:r>
              <w:rPr>
                <w:noProof/>
                <w:webHidden/>
              </w:rPr>
              <w:t>119</w:t>
            </w:r>
            <w:r>
              <w:rPr>
                <w:noProof/>
                <w:webHidden/>
              </w:rPr>
              <w:fldChar w:fldCharType="end"/>
            </w:r>
          </w:hyperlink>
        </w:p>
        <w:p w14:paraId="2D7EC319" w14:textId="0ADC9430" w:rsidR="00016C34" w:rsidRDefault="00016C34">
          <w:pPr>
            <w:pStyle w:val="Spistreci1"/>
            <w:rPr>
              <w:rFonts w:asciiTheme="minorHAnsi" w:eastAsiaTheme="minorEastAsia" w:hAnsiTheme="minorHAnsi" w:cstheme="minorBidi"/>
              <w:noProof/>
              <w:color w:val="auto"/>
              <w:lang w:eastAsia="pl-PL"/>
            </w:rPr>
          </w:pPr>
          <w:hyperlink w:anchor="_Toc239772105" w:history="1">
            <w:r w:rsidRPr="003A564F">
              <w:rPr>
                <w:rStyle w:val="Hipercze"/>
                <w:noProof/>
              </w:rPr>
              <w:t>VII.</w:t>
            </w:r>
            <w:r>
              <w:rPr>
                <w:rFonts w:asciiTheme="minorHAnsi" w:eastAsiaTheme="minorEastAsia" w:hAnsiTheme="minorHAnsi" w:cstheme="minorBidi"/>
                <w:noProof/>
                <w:color w:val="auto"/>
                <w:lang w:eastAsia="pl-PL"/>
              </w:rPr>
              <w:tab/>
            </w:r>
            <w:r w:rsidRPr="003A564F">
              <w:rPr>
                <w:rStyle w:val="Hipercze"/>
                <w:noProof/>
              </w:rPr>
              <w:t>Strategiczne inwestycje krajowe kluczowe dla województwa pomorskiego w perspektywie roku 2035</w:t>
            </w:r>
            <w:r>
              <w:rPr>
                <w:noProof/>
                <w:webHidden/>
              </w:rPr>
              <w:tab/>
            </w:r>
            <w:r>
              <w:rPr>
                <w:noProof/>
                <w:webHidden/>
              </w:rPr>
              <w:fldChar w:fldCharType="begin"/>
            </w:r>
            <w:r>
              <w:rPr>
                <w:noProof/>
                <w:webHidden/>
              </w:rPr>
              <w:instrText xml:space="preserve"> PAGEREF _Toc239772105 \h </w:instrText>
            </w:r>
            <w:r>
              <w:rPr>
                <w:noProof/>
                <w:webHidden/>
              </w:rPr>
            </w:r>
            <w:r>
              <w:rPr>
                <w:noProof/>
                <w:webHidden/>
              </w:rPr>
              <w:fldChar w:fldCharType="separate"/>
            </w:r>
            <w:r>
              <w:rPr>
                <w:noProof/>
                <w:webHidden/>
              </w:rPr>
              <w:t>120</w:t>
            </w:r>
            <w:r>
              <w:rPr>
                <w:noProof/>
                <w:webHidden/>
              </w:rPr>
              <w:fldChar w:fldCharType="end"/>
            </w:r>
          </w:hyperlink>
        </w:p>
        <w:p w14:paraId="730F6979" w14:textId="344B0CF0" w:rsidR="00016C34" w:rsidRDefault="00016C34">
          <w:pPr>
            <w:pStyle w:val="Spistreci1"/>
            <w:rPr>
              <w:rFonts w:asciiTheme="minorHAnsi" w:eastAsiaTheme="minorEastAsia" w:hAnsiTheme="minorHAnsi" w:cstheme="minorBidi"/>
              <w:noProof/>
              <w:color w:val="auto"/>
              <w:lang w:eastAsia="pl-PL"/>
            </w:rPr>
          </w:pPr>
          <w:hyperlink w:anchor="_Toc239772106" w:history="1">
            <w:r w:rsidRPr="003A564F">
              <w:rPr>
                <w:rStyle w:val="Hipercze"/>
                <w:noProof/>
              </w:rPr>
              <w:t>VIII.</w:t>
            </w:r>
            <w:r>
              <w:rPr>
                <w:rFonts w:asciiTheme="minorHAnsi" w:eastAsiaTheme="minorEastAsia" w:hAnsiTheme="minorHAnsi" w:cstheme="minorBidi"/>
                <w:noProof/>
                <w:color w:val="auto"/>
                <w:lang w:eastAsia="pl-PL"/>
              </w:rPr>
              <w:tab/>
            </w:r>
            <w:r w:rsidRPr="003A564F">
              <w:rPr>
                <w:rStyle w:val="Hipercze"/>
                <w:noProof/>
              </w:rPr>
              <w:t>Wymiar terytorialny Strategii</w:t>
            </w:r>
            <w:r>
              <w:rPr>
                <w:noProof/>
                <w:webHidden/>
              </w:rPr>
              <w:tab/>
            </w:r>
            <w:r>
              <w:rPr>
                <w:noProof/>
                <w:webHidden/>
              </w:rPr>
              <w:fldChar w:fldCharType="begin"/>
            </w:r>
            <w:r>
              <w:rPr>
                <w:noProof/>
                <w:webHidden/>
              </w:rPr>
              <w:instrText xml:space="preserve"> PAGEREF _Toc239772106 \h </w:instrText>
            </w:r>
            <w:r>
              <w:rPr>
                <w:noProof/>
                <w:webHidden/>
              </w:rPr>
            </w:r>
            <w:r>
              <w:rPr>
                <w:noProof/>
                <w:webHidden/>
              </w:rPr>
              <w:fldChar w:fldCharType="separate"/>
            </w:r>
            <w:r>
              <w:rPr>
                <w:noProof/>
                <w:webHidden/>
              </w:rPr>
              <w:t>125</w:t>
            </w:r>
            <w:r>
              <w:rPr>
                <w:noProof/>
                <w:webHidden/>
              </w:rPr>
              <w:fldChar w:fldCharType="end"/>
            </w:r>
          </w:hyperlink>
        </w:p>
        <w:p w14:paraId="314E4D88" w14:textId="217666CF" w:rsidR="00016C34" w:rsidRDefault="00016C34">
          <w:pPr>
            <w:pStyle w:val="Spistreci2"/>
            <w:rPr>
              <w:rFonts w:asciiTheme="minorHAnsi" w:eastAsiaTheme="minorEastAsia" w:hAnsiTheme="minorHAnsi" w:cstheme="minorBidi"/>
              <w:noProof/>
              <w:color w:val="auto"/>
              <w:lang w:eastAsia="pl-PL"/>
            </w:rPr>
          </w:pPr>
          <w:hyperlink w:anchor="_Toc239772107" w:history="1">
            <w:r w:rsidRPr="003A564F">
              <w:rPr>
                <w:rStyle w:val="Hipercze"/>
                <w:noProof/>
              </w:rPr>
              <w:t>Obszary funkcjonalne</w:t>
            </w:r>
            <w:r>
              <w:rPr>
                <w:noProof/>
                <w:webHidden/>
              </w:rPr>
              <w:tab/>
            </w:r>
            <w:r>
              <w:rPr>
                <w:noProof/>
                <w:webHidden/>
              </w:rPr>
              <w:fldChar w:fldCharType="begin"/>
            </w:r>
            <w:r>
              <w:rPr>
                <w:noProof/>
                <w:webHidden/>
              </w:rPr>
              <w:instrText xml:space="preserve"> PAGEREF _Toc239772107 \h </w:instrText>
            </w:r>
            <w:r>
              <w:rPr>
                <w:noProof/>
                <w:webHidden/>
              </w:rPr>
            </w:r>
            <w:r>
              <w:rPr>
                <w:noProof/>
                <w:webHidden/>
              </w:rPr>
              <w:fldChar w:fldCharType="separate"/>
            </w:r>
            <w:r>
              <w:rPr>
                <w:noProof/>
                <w:webHidden/>
              </w:rPr>
              <w:t>126</w:t>
            </w:r>
            <w:r>
              <w:rPr>
                <w:noProof/>
                <w:webHidden/>
              </w:rPr>
              <w:fldChar w:fldCharType="end"/>
            </w:r>
          </w:hyperlink>
        </w:p>
        <w:p w14:paraId="24011693" w14:textId="43994A1E" w:rsidR="00016C34" w:rsidRDefault="00016C34">
          <w:pPr>
            <w:pStyle w:val="Spistreci2"/>
            <w:rPr>
              <w:rFonts w:asciiTheme="minorHAnsi" w:eastAsiaTheme="minorEastAsia" w:hAnsiTheme="minorHAnsi" w:cstheme="minorBidi"/>
              <w:noProof/>
              <w:color w:val="auto"/>
              <w:lang w:eastAsia="pl-PL"/>
            </w:rPr>
          </w:pPr>
          <w:hyperlink w:anchor="_Toc239772108" w:history="1">
            <w:r w:rsidRPr="003A564F">
              <w:rPr>
                <w:rStyle w:val="Hipercze"/>
                <w:noProof/>
              </w:rPr>
              <w:t>Obszary szczególnego wsparcia w polityce regionalnej państwa</w:t>
            </w:r>
            <w:r>
              <w:rPr>
                <w:noProof/>
                <w:webHidden/>
              </w:rPr>
              <w:tab/>
            </w:r>
            <w:r>
              <w:rPr>
                <w:noProof/>
                <w:webHidden/>
              </w:rPr>
              <w:fldChar w:fldCharType="begin"/>
            </w:r>
            <w:r>
              <w:rPr>
                <w:noProof/>
                <w:webHidden/>
              </w:rPr>
              <w:instrText xml:space="preserve"> PAGEREF _Toc239772108 \h </w:instrText>
            </w:r>
            <w:r>
              <w:rPr>
                <w:noProof/>
                <w:webHidden/>
              </w:rPr>
            </w:r>
            <w:r>
              <w:rPr>
                <w:noProof/>
                <w:webHidden/>
              </w:rPr>
              <w:fldChar w:fldCharType="separate"/>
            </w:r>
            <w:r>
              <w:rPr>
                <w:noProof/>
                <w:webHidden/>
              </w:rPr>
              <w:t>130</w:t>
            </w:r>
            <w:r>
              <w:rPr>
                <w:noProof/>
                <w:webHidden/>
              </w:rPr>
              <w:fldChar w:fldCharType="end"/>
            </w:r>
          </w:hyperlink>
        </w:p>
        <w:p w14:paraId="58CBD9C5" w14:textId="7AE49AE9" w:rsidR="00016C34" w:rsidRDefault="00016C34">
          <w:pPr>
            <w:pStyle w:val="Spistreci3"/>
            <w:rPr>
              <w:rFonts w:asciiTheme="minorHAnsi" w:eastAsiaTheme="minorEastAsia" w:hAnsiTheme="minorHAnsi" w:cstheme="minorBidi"/>
              <w:noProof/>
              <w:color w:val="auto"/>
              <w:lang w:eastAsia="pl-PL"/>
            </w:rPr>
          </w:pPr>
          <w:hyperlink w:anchor="_Toc239772109" w:history="1">
            <w:r w:rsidRPr="003A564F">
              <w:rPr>
                <w:rStyle w:val="Hipercze"/>
                <w:noProof/>
              </w:rPr>
              <w:t>1. Obszar rozwoju energetyki jądrowej i morskiej energetyki wiatrowej</w:t>
            </w:r>
            <w:r>
              <w:rPr>
                <w:noProof/>
                <w:webHidden/>
              </w:rPr>
              <w:tab/>
            </w:r>
            <w:r>
              <w:rPr>
                <w:noProof/>
                <w:webHidden/>
              </w:rPr>
              <w:fldChar w:fldCharType="begin"/>
            </w:r>
            <w:r>
              <w:rPr>
                <w:noProof/>
                <w:webHidden/>
              </w:rPr>
              <w:instrText xml:space="preserve"> PAGEREF _Toc239772109 \h </w:instrText>
            </w:r>
            <w:r>
              <w:rPr>
                <w:noProof/>
                <w:webHidden/>
              </w:rPr>
            </w:r>
            <w:r>
              <w:rPr>
                <w:noProof/>
                <w:webHidden/>
              </w:rPr>
              <w:fldChar w:fldCharType="separate"/>
            </w:r>
            <w:r>
              <w:rPr>
                <w:noProof/>
                <w:webHidden/>
              </w:rPr>
              <w:t>130</w:t>
            </w:r>
            <w:r>
              <w:rPr>
                <w:noProof/>
                <w:webHidden/>
              </w:rPr>
              <w:fldChar w:fldCharType="end"/>
            </w:r>
          </w:hyperlink>
        </w:p>
        <w:p w14:paraId="1F6E48A3" w14:textId="42BC745A" w:rsidR="00016C34" w:rsidRDefault="00016C34">
          <w:pPr>
            <w:pStyle w:val="Spistreci3"/>
            <w:rPr>
              <w:rFonts w:asciiTheme="minorHAnsi" w:eastAsiaTheme="minorEastAsia" w:hAnsiTheme="minorHAnsi" w:cstheme="minorBidi"/>
              <w:noProof/>
              <w:color w:val="auto"/>
              <w:lang w:eastAsia="pl-PL"/>
            </w:rPr>
          </w:pPr>
          <w:hyperlink w:anchor="_Toc239772110" w:history="1">
            <w:r w:rsidRPr="003A564F">
              <w:rPr>
                <w:rStyle w:val="Hipercze"/>
                <w:noProof/>
              </w:rPr>
              <w:t>2. Obszar odporności i rozwoju obszarów przy zewnętrznej granicy UE</w:t>
            </w:r>
            <w:r>
              <w:rPr>
                <w:noProof/>
                <w:webHidden/>
              </w:rPr>
              <w:tab/>
            </w:r>
            <w:r>
              <w:rPr>
                <w:noProof/>
                <w:webHidden/>
              </w:rPr>
              <w:fldChar w:fldCharType="begin"/>
            </w:r>
            <w:r>
              <w:rPr>
                <w:noProof/>
                <w:webHidden/>
              </w:rPr>
              <w:instrText xml:space="preserve"> PAGEREF _Toc239772110 \h </w:instrText>
            </w:r>
            <w:r>
              <w:rPr>
                <w:noProof/>
                <w:webHidden/>
              </w:rPr>
            </w:r>
            <w:r>
              <w:rPr>
                <w:noProof/>
                <w:webHidden/>
              </w:rPr>
              <w:fldChar w:fldCharType="separate"/>
            </w:r>
            <w:r>
              <w:rPr>
                <w:noProof/>
                <w:webHidden/>
              </w:rPr>
              <w:t>131</w:t>
            </w:r>
            <w:r>
              <w:rPr>
                <w:noProof/>
                <w:webHidden/>
              </w:rPr>
              <w:fldChar w:fldCharType="end"/>
            </w:r>
          </w:hyperlink>
        </w:p>
        <w:p w14:paraId="64E56888" w14:textId="7219F408" w:rsidR="00016C34" w:rsidRDefault="00016C34">
          <w:pPr>
            <w:pStyle w:val="Spistreci3"/>
            <w:rPr>
              <w:rFonts w:asciiTheme="minorHAnsi" w:eastAsiaTheme="minorEastAsia" w:hAnsiTheme="minorHAnsi" w:cstheme="minorBidi"/>
              <w:noProof/>
              <w:color w:val="auto"/>
              <w:lang w:eastAsia="pl-PL"/>
            </w:rPr>
          </w:pPr>
          <w:hyperlink w:anchor="_Toc239772111" w:history="1">
            <w:r w:rsidRPr="003A564F">
              <w:rPr>
                <w:rStyle w:val="Hipercze"/>
                <w:noProof/>
              </w:rPr>
              <w:t>3. Obszar wsparcia dla policentrycznej sieci miast i ich obszarów funkcjonalnych</w:t>
            </w:r>
            <w:r>
              <w:rPr>
                <w:noProof/>
                <w:webHidden/>
              </w:rPr>
              <w:tab/>
            </w:r>
            <w:r>
              <w:rPr>
                <w:noProof/>
                <w:webHidden/>
              </w:rPr>
              <w:fldChar w:fldCharType="begin"/>
            </w:r>
            <w:r>
              <w:rPr>
                <w:noProof/>
                <w:webHidden/>
              </w:rPr>
              <w:instrText xml:space="preserve"> PAGEREF _Toc239772111 \h </w:instrText>
            </w:r>
            <w:r>
              <w:rPr>
                <w:noProof/>
                <w:webHidden/>
              </w:rPr>
            </w:r>
            <w:r>
              <w:rPr>
                <w:noProof/>
                <w:webHidden/>
              </w:rPr>
              <w:fldChar w:fldCharType="separate"/>
            </w:r>
            <w:r>
              <w:rPr>
                <w:noProof/>
                <w:webHidden/>
              </w:rPr>
              <w:t>132</w:t>
            </w:r>
            <w:r>
              <w:rPr>
                <w:noProof/>
                <w:webHidden/>
              </w:rPr>
              <w:fldChar w:fldCharType="end"/>
            </w:r>
          </w:hyperlink>
        </w:p>
        <w:p w14:paraId="4FE82902" w14:textId="53B25D20" w:rsidR="00016C34" w:rsidRDefault="00016C34">
          <w:pPr>
            <w:pStyle w:val="Spistreci3"/>
            <w:rPr>
              <w:rFonts w:asciiTheme="minorHAnsi" w:eastAsiaTheme="minorEastAsia" w:hAnsiTheme="minorHAnsi" w:cstheme="minorBidi"/>
              <w:noProof/>
              <w:color w:val="auto"/>
              <w:lang w:eastAsia="pl-PL"/>
            </w:rPr>
          </w:pPr>
          <w:hyperlink w:anchor="_Toc239772112" w:history="1">
            <w:r w:rsidRPr="003A564F">
              <w:rPr>
                <w:rStyle w:val="Hipercze"/>
                <w:noProof/>
              </w:rPr>
              <w:t>4. Obszary wymagające większego włączenia w procesy rozwojowe</w:t>
            </w:r>
            <w:r>
              <w:rPr>
                <w:noProof/>
                <w:webHidden/>
              </w:rPr>
              <w:tab/>
            </w:r>
            <w:r>
              <w:rPr>
                <w:noProof/>
                <w:webHidden/>
              </w:rPr>
              <w:fldChar w:fldCharType="begin"/>
            </w:r>
            <w:r>
              <w:rPr>
                <w:noProof/>
                <w:webHidden/>
              </w:rPr>
              <w:instrText xml:space="preserve"> PAGEREF _Toc239772112 \h </w:instrText>
            </w:r>
            <w:r>
              <w:rPr>
                <w:noProof/>
                <w:webHidden/>
              </w:rPr>
            </w:r>
            <w:r>
              <w:rPr>
                <w:noProof/>
                <w:webHidden/>
              </w:rPr>
              <w:fldChar w:fldCharType="separate"/>
            </w:r>
            <w:r>
              <w:rPr>
                <w:noProof/>
                <w:webHidden/>
              </w:rPr>
              <w:t>133</w:t>
            </w:r>
            <w:r>
              <w:rPr>
                <w:noProof/>
                <w:webHidden/>
              </w:rPr>
              <w:fldChar w:fldCharType="end"/>
            </w:r>
          </w:hyperlink>
        </w:p>
        <w:p w14:paraId="187A1862" w14:textId="59EA23AF" w:rsidR="00016C34" w:rsidRDefault="00016C34">
          <w:pPr>
            <w:pStyle w:val="Spistreci2"/>
            <w:rPr>
              <w:rFonts w:asciiTheme="minorHAnsi" w:eastAsiaTheme="minorEastAsia" w:hAnsiTheme="minorHAnsi" w:cstheme="minorBidi"/>
              <w:noProof/>
              <w:color w:val="auto"/>
              <w:lang w:eastAsia="pl-PL"/>
            </w:rPr>
          </w:pPr>
          <w:hyperlink w:anchor="_Toc239772113" w:history="1">
            <w:r w:rsidRPr="003A564F">
              <w:rPr>
                <w:rStyle w:val="Hipercze"/>
                <w:noProof/>
              </w:rPr>
              <w:t>Realizacja wymiaru terytorialnego Strategii</w:t>
            </w:r>
            <w:r>
              <w:rPr>
                <w:noProof/>
                <w:webHidden/>
              </w:rPr>
              <w:tab/>
            </w:r>
            <w:r>
              <w:rPr>
                <w:noProof/>
                <w:webHidden/>
              </w:rPr>
              <w:fldChar w:fldCharType="begin"/>
            </w:r>
            <w:r>
              <w:rPr>
                <w:noProof/>
                <w:webHidden/>
              </w:rPr>
              <w:instrText xml:space="preserve"> PAGEREF _Toc239772113 \h </w:instrText>
            </w:r>
            <w:r>
              <w:rPr>
                <w:noProof/>
                <w:webHidden/>
              </w:rPr>
            </w:r>
            <w:r>
              <w:rPr>
                <w:noProof/>
                <w:webHidden/>
              </w:rPr>
              <w:fldChar w:fldCharType="separate"/>
            </w:r>
            <w:r>
              <w:rPr>
                <w:noProof/>
                <w:webHidden/>
              </w:rPr>
              <w:t>133</w:t>
            </w:r>
            <w:r>
              <w:rPr>
                <w:noProof/>
                <w:webHidden/>
              </w:rPr>
              <w:fldChar w:fldCharType="end"/>
            </w:r>
          </w:hyperlink>
        </w:p>
        <w:p w14:paraId="1F06153C" w14:textId="570C5355" w:rsidR="00016C34" w:rsidRDefault="00016C34">
          <w:pPr>
            <w:pStyle w:val="Spistreci1"/>
            <w:rPr>
              <w:rFonts w:asciiTheme="minorHAnsi" w:eastAsiaTheme="minorEastAsia" w:hAnsiTheme="minorHAnsi" w:cstheme="minorBidi"/>
              <w:noProof/>
              <w:color w:val="auto"/>
              <w:lang w:eastAsia="pl-PL"/>
            </w:rPr>
          </w:pPr>
          <w:hyperlink w:anchor="_Toc239772114" w:history="1">
            <w:r w:rsidRPr="003A564F">
              <w:rPr>
                <w:rStyle w:val="Hipercze"/>
                <w:noProof/>
              </w:rPr>
              <w:t>IX.</w:t>
            </w:r>
            <w:r>
              <w:rPr>
                <w:rFonts w:asciiTheme="minorHAnsi" w:eastAsiaTheme="minorEastAsia" w:hAnsiTheme="minorHAnsi" w:cstheme="minorBidi"/>
                <w:noProof/>
                <w:color w:val="auto"/>
                <w:lang w:eastAsia="pl-PL"/>
              </w:rPr>
              <w:tab/>
            </w:r>
            <w:r w:rsidRPr="003A564F">
              <w:rPr>
                <w:rStyle w:val="Hipercze"/>
                <w:noProof/>
              </w:rPr>
              <w:t>Rola Samorządu Województwa</w:t>
            </w:r>
            <w:r>
              <w:rPr>
                <w:noProof/>
                <w:webHidden/>
              </w:rPr>
              <w:tab/>
            </w:r>
            <w:r>
              <w:rPr>
                <w:noProof/>
                <w:webHidden/>
              </w:rPr>
              <w:fldChar w:fldCharType="begin"/>
            </w:r>
            <w:r>
              <w:rPr>
                <w:noProof/>
                <w:webHidden/>
              </w:rPr>
              <w:instrText xml:space="preserve"> PAGEREF _Toc239772114 \h </w:instrText>
            </w:r>
            <w:r>
              <w:rPr>
                <w:noProof/>
                <w:webHidden/>
              </w:rPr>
            </w:r>
            <w:r>
              <w:rPr>
                <w:noProof/>
                <w:webHidden/>
              </w:rPr>
              <w:fldChar w:fldCharType="separate"/>
            </w:r>
            <w:r>
              <w:rPr>
                <w:noProof/>
                <w:webHidden/>
              </w:rPr>
              <w:t>135</w:t>
            </w:r>
            <w:r>
              <w:rPr>
                <w:noProof/>
                <w:webHidden/>
              </w:rPr>
              <w:fldChar w:fldCharType="end"/>
            </w:r>
          </w:hyperlink>
        </w:p>
        <w:p w14:paraId="47696A06" w14:textId="2243E422" w:rsidR="00016C34" w:rsidRDefault="00016C34">
          <w:pPr>
            <w:pStyle w:val="Spistreci1"/>
            <w:rPr>
              <w:rFonts w:asciiTheme="minorHAnsi" w:eastAsiaTheme="minorEastAsia" w:hAnsiTheme="minorHAnsi" w:cstheme="minorBidi"/>
              <w:noProof/>
              <w:color w:val="auto"/>
              <w:lang w:eastAsia="pl-PL"/>
            </w:rPr>
          </w:pPr>
          <w:hyperlink w:anchor="_Toc239772115" w:history="1">
            <w:r w:rsidRPr="003A564F">
              <w:rPr>
                <w:rStyle w:val="Hipercze"/>
                <w:noProof/>
              </w:rPr>
              <w:t>X.</w:t>
            </w:r>
            <w:r>
              <w:rPr>
                <w:rFonts w:asciiTheme="minorHAnsi" w:eastAsiaTheme="minorEastAsia" w:hAnsiTheme="minorHAnsi" w:cstheme="minorBidi"/>
                <w:noProof/>
                <w:color w:val="auto"/>
                <w:lang w:eastAsia="pl-PL"/>
              </w:rPr>
              <w:tab/>
            </w:r>
            <w:r w:rsidRPr="003A564F">
              <w:rPr>
                <w:rStyle w:val="Hipercze"/>
                <w:noProof/>
              </w:rPr>
              <w:t>System realizacji Strategii</w:t>
            </w:r>
            <w:r>
              <w:rPr>
                <w:noProof/>
                <w:webHidden/>
              </w:rPr>
              <w:tab/>
            </w:r>
            <w:r>
              <w:rPr>
                <w:noProof/>
                <w:webHidden/>
              </w:rPr>
              <w:fldChar w:fldCharType="begin"/>
            </w:r>
            <w:r>
              <w:rPr>
                <w:noProof/>
                <w:webHidden/>
              </w:rPr>
              <w:instrText xml:space="preserve"> PAGEREF _Toc239772115 \h </w:instrText>
            </w:r>
            <w:r>
              <w:rPr>
                <w:noProof/>
                <w:webHidden/>
              </w:rPr>
            </w:r>
            <w:r>
              <w:rPr>
                <w:noProof/>
                <w:webHidden/>
              </w:rPr>
              <w:fldChar w:fldCharType="separate"/>
            </w:r>
            <w:r>
              <w:rPr>
                <w:noProof/>
                <w:webHidden/>
              </w:rPr>
              <w:t>136</w:t>
            </w:r>
            <w:r>
              <w:rPr>
                <w:noProof/>
                <w:webHidden/>
              </w:rPr>
              <w:fldChar w:fldCharType="end"/>
            </w:r>
          </w:hyperlink>
        </w:p>
        <w:p w14:paraId="3215501B" w14:textId="3AEDF114" w:rsidR="00016C34" w:rsidRDefault="00016C34">
          <w:pPr>
            <w:pStyle w:val="Spistreci2"/>
            <w:rPr>
              <w:rFonts w:asciiTheme="minorHAnsi" w:eastAsiaTheme="minorEastAsia" w:hAnsiTheme="minorHAnsi" w:cstheme="minorBidi"/>
              <w:noProof/>
              <w:color w:val="auto"/>
              <w:lang w:eastAsia="pl-PL"/>
            </w:rPr>
          </w:pPr>
          <w:hyperlink w:anchor="_Toc239772116" w:history="1">
            <w:r w:rsidRPr="003A564F">
              <w:rPr>
                <w:rStyle w:val="Hipercze"/>
                <w:noProof/>
              </w:rPr>
              <w:t>Narzędzia realizacji</w:t>
            </w:r>
            <w:r>
              <w:rPr>
                <w:noProof/>
                <w:webHidden/>
              </w:rPr>
              <w:tab/>
            </w:r>
            <w:r>
              <w:rPr>
                <w:noProof/>
                <w:webHidden/>
              </w:rPr>
              <w:fldChar w:fldCharType="begin"/>
            </w:r>
            <w:r>
              <w:rPr>
                <w:noProof/>
                <w:webHidden/>
              </w:rPr>
              <w:instrText xml:space="preserve"> PAGEREF _Toc239772116 \h </w:instrText>
            </w:r>
            <w:r>
              <w:rPr>
                <w:noProof/>
                <w:webHidden/>
              </w:rPr>
            </w:r>
            <w:r>
              <w:rPr>
                <w:noProof/>
                <w:webHidden/>
              </w:rPr>
              <w:fldChar w:fldCharType="separate"/>
            </w:r>
            <w:r>
              <w:rPr>
                <w:noProof/>
                <w:webHidden/>
              </w:rPr>
              <w:t>136</w:t>
            </w:r>
            <w:r>
              <w:rPr>
                <w:noProof/>
                <w:webHidden/>
              </w:rPr>
              <w:fldChar w:fldCharType="end"/>
            </w:r>
          </w:hyperlink>
        </w:p>
        <w:p w14:paraId="76AEF32C" w14:textId="0A435A6A" w:rsidR="00016C34" w:rsidRDefault="00016C34">
          <w:pPr>
            <w:pStyle w:val="Spistreci2"/>
            <w:rPr>
              <w:rFonts w:asciiTheme="minorHAnsi" w:eastAsiaTheme="minorEastAsia" w:hAnsiTheme="minorHAnsi" w:cstheme="minorBidi"/>
              <w:noProof/>
              <w:color w:val="auto"/>
              <w:lang w:eastAsia="pl-PL"/>
            </w:rPr>
          </w:pPr>
          <w:hyperlink w:anchor="_Toc239772117" w:history="1">
            <w:r w:rsidRPr="003A564F">
              <w:rPr>
                <w:rStyle w:val="Hipercze"/>
                <w:noProof/>
              </w:rPr>
              <w:t>Zaangażowane podmioty</w:t>
            </w:r>
            <w:r>
              <w:rPr>
                <w:noProof/>
                <w:webHidden/>
              </w:rPr>
              <w:tab/>
            </w:r>
            <w:r>
              <w:rPr>
                <w:noProof/>
                <w:webHidden/>
              </w:rPr>
              <w:fldChar w:fldCharType="begin"/>
            </w:r>
            <w:r>
              <w:rPr>
                <w:noProof/>
                <w:webHidden/>
              </w:rPr>
              <w:instrText xml:space="preserve"> PAGEREF _Toc239772117 \h </w:instrText>
            </w:r>
            <w:r>
              <w:rPr>
                <w:noProof/>
                <w:webHidden/>
              </w:rPr>
            </w:r>
            <w:r>
              <w:rPr>
                <w:noProof/>
                <w:webHidden/>
              </w:rPr>
              <w:fldChar w:fldCharType="separate"/>
            </w:r>
            <w:r>
              <w:rPr>
                <w:noProof/>
                <w:webHidden/>
              </w:rPr>
              <w:t>137</w:t>
            </w:r>
            <w:r>
              <w:rPr>
                <w:noProof/>
                <w:webHidden/>
              </w:rPr>
              <w:fldChar w:fldCharType="end"/>
            </w:r>
          </w:hyperlink>
        </w:p>
        <w:p w14:paraId="30B3D73F" w14:textId="1FECACE5" w:rsidR="00016C34" w:rsidRDefault="00016C34">
          <w:pPr>
            <w:pStyle w:val="Spistreci2"/>
            <w:rPr>
              <w:rFonts w:asciiTheme="minorHAnsi" w:eastAsiaTheme="minorEastAsia" w:hAnsiTheme="minorHAnsi" w:cstheme="minorBidi"/>
              <w:noProof/>
              <w:color w:val="auto"/>
              <w:lang w:eastAsia="pl-PL"/>
            </w:rPr>
          </w:pPr>
          <w:hyperlink w:anchor="_Toc239772118" w:history="1">
            <w:r w:rsidRPr="003A564F">
              <w:rPr>
                <w:rStyle w:val="Hipercze"/>
                <w:noProof/>
              </w:rPr>
              <w:t>Finansowanie</w:t>
            </w:r>
            <w:r>
              <w:rPr>
                <w:noProof/>
                <w:webHidden/>
              </w:rPr>
              <w:tab/>
            </w:r>
            <w:r>
              <w:rPr>
                <w:noProof/>
                <w:webHidden/>
              </w:rPr>
              <w:fldChar w:fldCharType="begin"/>
            </w:r>
            <w:r>
              <w:rPr>
                <w:noProof/>
                <w:webHidden/>
              </w:rPr>
              <w:instrText xml:space="preserve"> PAGEREF _Toc239772118 \h </w:instrText>
            </w:r>
            <w:r>
              <w:rPr>
                <w:noProof/>
                <w:webHidden/>
              </w:rPr>
            </w:r>
            <w:r>
              <w:rPr>
                <w:noProof/>
                <w:webHidden/>
              </w:rPr>
              <w:fldChar w:fldCharType="separate"/>
            </w:r>
            <w:r>
              <w:rPr>
                <w:noProof/>
                <w:webHidden/>
              </w:rPr>
              <w:t>138</w:t>
            </w:r>
            <w:r>
              <w:rPr>
                <w:noProof/>
                <w:webHidden/>
              </w:rPr>
              <w:fldChar w:fldCharType="end"/>
            </w:r>
          </w:hyperlink>
        </w:p>
        <w:p w14:paraId="7E5553E4" w14:textId="1898CFA7" w:rsidR="00016C34" w:rsidRDefault="00016C34">
          <w:pPr>
            <w:pStyle w:val="Spistreci2"/>
            <w:rPr>
              <w:rFonts w:asciiTheme="minorHAnsi" w:eastAsiaTheme="minorEastAsia" w:hAnsiTheme="minorHAnsi" w:cstheme="minorBidi"/>
              <w:noProof/>
              <w:color w:val="auto"/>
              <w:lang w:eastAsia="pl-PL"/>
            </w:rPr>
          </w:pPr>
          <w:hyperlink w:anchor="_Toc239772119" w:history="1">
            <w:r w:rsidRPr="003A564F">
              <w:rPr>
                <w:rStyle w:val="Hipercze"/>
                <w:noProof/>
              </w:rPr>
              <w:t>Monitorowanie i ocena efektów realizacji</w:t>
            </w:r>
            <w:r>
              <w:rPr>
                <w:noProof/>
                <w:webHidden/>
              </w:rPr>
              <w:tab/>
            </w:r>
            <w:r>
              <w:rPr>
                <w:noProof/>
                <w:webHidden/>
              </w:rPr>
              <w:fldChar w:fldCharType="begin"/>
            </w:r>
            <w:r>
              <w:rPr>
                <w:noProof/>
                <w:webHidden/>
              </w:rPr>
              <w:instrText xml:space="preserve"> PAGEREF _Toc239772119 \h </w:instrText>
            </w:r>
            <w:r>
              <w:rPr>
                <w:noProof/>
                <w:webHidden/>
              </w:rPr>
            </w:r>
            <w:r>
              <w:rPr>
                <w:noProof/>
                <w:webHidden/>
              </w:rPr>
              <w:fldChar w:fldCharType="separate"/>
            </w:r>
            <w:r>
              <w:rPr>
                <w:noProof/>
                <w:webHidden/>
              </w:rPr>
              <w:t>140</w:t>
            </w:r>
            <w:r>
              <w:rPr>
                <w:noProof/>
                <w:webHidden/>
              </w:rPr>
              <w:fldChar w:fldCharType="end"/>
            </w:r>
          </w:hyperlink>
        </w:p>
        <w:p w14:paraId="2A804106" w14:textId="26CE0C79" w:rsidR="00016C34" w:rsidRDefault="00016C34">
          <w:pPr>
            <w:pStyle w:val="Spistreci1"/>
            <w:rPr>
              <w:rFonts w:asciiTheme="minorHAnsi" w:eastAsiaTheme="minorEastAsia" w:hAnsiTheme="minorHAnsi" w:cstheme="minorBidi"/>
              <w:noProof/>
              <w:color w:val="auto"/>
              <w:lang w:eastAsia="pl-PL"/>
            </w:rPr>
          </w:pPr>
          <w:hyperlink w:anchor="_Toc239772120" w:history="1">
            <w:r w:rsidRPr="003A564F">
              <w:rPr>
                <w:rStyle w:val="Hipercze"/>
                <w:rFonts w:eastAsia="Calibri"/>
                <w:noProof/>
              </w:rPr>
              <w:t>XI.</w:t>
            </w:r>
            <w:r>
              <w:rPr>
                <w:rFonts w:asciiTheme="minorHAnsi" w:eastAsiaTheme="minorEastAsia" w:hAnsiTheme="minorHAnsi" w:cstheme="minorBidi"/>
                <w:noProof/>
                <w:color w:val="auto"/>
                <w:lang w:eastAsia="pl-PL"/>
              </w:rPr>
              <w:tab/>
            </w:r>
            <w:r w:rsidRPr="003A564F">
              <w:rPr>
                <w:rStyle w:val="Hipercze"/>
                <w:rFonts w:eastAsia="Calibri"/>
                <w:noProof/>
              </w:rPr>
              <w:t>Spis rycin</w:t>
            </w:r>
            <w:r>
              <w:rPr>
                <w:noProof/>
                <w:webHidden/>
              </w:rPr>
              <w:tab/>
            </w:r>
            <w:r>
              <w:rPr>
                <w:noProof/>
                <w:webHidden/>
              </w:rPr>
              <w:fldChar w:fldCharType="begin"/>
            </w:r>
            <w:r>
              <w:rPr>
                <w:noProof/>
                <w:webHidden/>
              </w:rPr>
              <w:instrText xml:space="preserve"> PAGEREF _Toc239772120 \h </w:instrText>
            </w:r>
            <w:r>
              <w:rPr>
                <w:noProof/>
                <w:webHidden/>
              </w:rPr>
            </w:r>
            <w:r>
              <w:rPr>
                <w:noProof/>
                <w:webHidden/>
              </w:rPr>
              <w:fldChar w:fldCharType="separate"/>
            </w:r>
            <w:r>
              <w:rPr>
                <w:noProof/>
                <w:webHidden/>
              </w:rPr>
              <w:t>141</w:t>
            </w:r>
            <w:r>
              <w:rPr>
                <w:noProof/>
                <w:webHidden/>
              </w:rPr>
              <w:fldChar w:fldCharType="end"/>
            </w:r>
          </w:hyperlink>
        </w:p>
        <w:p w14:paraId="1000CB6B" w14:textId="154B4BF0" w:rsidR="000150EA" w:rsidRPr="007E08F7" w:rsidRDefault="00B32464" w:rsidP="005E7953">
          <w:pPr>
            <w:spacing w:before="120" w:after="120" w:line="288" w:lineRule="auto"/>
          </w:pPr>
          <w:r w:rsidRPr="007E08F7">
            <w:fldChar w:fldCharType="end"/>
          </w:r>
        </w:p>
      </w:sdtContent>
    </w:sdt>
    <w:p w14:paraId="513C97A2" w14:textId="0E5483BA" w:rsidR="00D801AF" w:rsidRPr="007E08F7" w:rsidRDefault="00EB72A7" w:rsidP="00B64E0B">
      <w:pPr>
        <w:pStyle w:val="Nagwek1"/>
      </w:pPr>
      <w:r w:rsidRPr="007E08F7">
        <w:rPr>
          <w:rFonts w:asciiTheme="minorHAnsi" w:hAnsiTheme="minorHAnsi"/>
        </w:rPr>
        <w:br w:type="page"/>
      </w:r>
      <w:bookmarkStart w:id="0" w:name="_Toc239772028"/>
      <w:r w:rsidR="00701D44" w:rsidRPr="007E08F7">
        <w:lastRenderedPageBreak/>
        <w:t>Wnioski z diagnozy sytuacji gospodarczej, społecznej, klimatyczno-środowiskowej i</w:t>
      </w:r>
      <w:r w:rsidR="00F11469" w:rsidRPr="007E08F7">
        <w:t> </w:t>
      </w:r>
      <w:r w:rsidR="00701D44" w:rsidRPr="007E08F7">
        <w:t>przestrzennej województwa pomorskiego</w:t>
      </w:r>
      <w:bookmarkEnd w:id="0"/>
    </w:p>
    <w:p w14:paraId="3F84AE59" w14:textId="7E037E36" w:rsidR="00E52C92" w:rsidRPr="007E08F7" w:rsidRDefault="00E52C92" w:rsidP="00E23359">
      <w:pPr>
        <w:keepNext/>
        <w:spacing w:before="120" w:after="120" w:line="288" w:lineRule="auto"/>
        <w:rPr>
          <w:rFonts w:asciiTheme="minorHAnsi" w:eastAsia="Aptos" w:hAnsiTheme="minorHAnsi"/>
          <w:kern w:val="0"/>
          <w:sz w:val="28"/>
          <w:szCs w:val="28"/>
          <w14:ligatures w14:val="none"/>
        </w:rPr>
      </w:pPr>
      <w:r w:rsidRPr="007E08F7">
        <w:rPr>
          <w:rFonts w:asciiTheme="minorHAnsi" w:hAnsiTheme="minorHAnsi"/>
        </w:rPr>
        <w:t>Wnioski z diagnozy sytuacji gospodarczej, społecznej, klimatyczno-środowiskowej i</w:t>
      </w:r>
      <w:r w:rsidR="00785123" w:rsidRPr="007E08F7">
        <w:rPr>
          <w:rFonts w:asciiTheme="minorHAnsi" w:hAnsiTheme="minorHAnsi"/>
        </w:rPr>
        <w:t> </w:t>
      </w:r>
      <w:r w:rsidRPr="007E08F7">
        <w:rPr>
          <w:rFonts w:asciiTheme="minorHAnsi" w:hAnsiTheme="minorHAnsi"/>
        </w:rPr>
        <w:t>przestrzennej opracowano na podstawie najnowszych dostępnych danych statystyki publicznej, pochodzących z zasobów GUS. W przypadku wykorzystania danych lub informacji z innych źródeł, zostały one każdorazowo wskazane w dokumencie.</w:t>
      </w:r>
    </w:p>
    <w:p w14:paraId="60215B88" w14:textId="41A8FE39" w:rsidR="00E52C92" w:rsidRPr="007E08F7" w:rsidRDefault="00701D44" w:rsidP="002774ED">
      <w:pPr>
        <w:pStyle w:val="Nagwek2"/>
      </w:pPr>
      <w:bookmarkStart w:id="1" w:name="_Toc239772029"/>
      <w:r w:rsidRPr="007E08F7">
        <w:t>Uwarunkowania globalne i krajowe</w:t>
      </w:r>
      <w:bookmarkEnd w:id="1"/>
    </w:p>
    <w:p w14:paraId="7AC14A04" w14:textId="323F572E"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b/>
          <w:bCs/>
          <w:kern w:val="0"/>
          <w14:ligatures w14:val="none"/>
        </w:rPr>
        <w:t>Światowa gospodarka staje się coraz bardziej wielobiegunowa i mniej przewidywalna</w:t>
      </w:r>
      <w:r w:rsidRPr="007E08F7">
        <w:rPr>
          <w:rFonts w:asciiTheme="minorHAnsi" w:eastAsia="Aptos" w:hAnsiTheme="minorHAnsi"/>
          <w:kern w:val="0"/>
          <w14:ligatures w14:val="none"/>
        </w:rPr>
        <w:t>. Zmienia się układ geopolityczny na świecie, rośnie konkurencja o</w:t>
      </w:r>
      <w:r w:rsidR="0009003B" w:rsidRPr="007E08F7">
        <w:rPr>
          <w:rFonts w:asciiTheme="minorHAnsi" w:eastAsia="Aptos" w:hAnsiTheme="minorHAnsi"/>
          <w:kern w:val="0"/>
          <w14:ligatures w14:val="none"/>
        </w:rPr>
        <w:t> </w:t>
      </w:r>
      <w:r w:rsidRPr="007E08F7">
        <w:rPr>
          <w:rFonts w:asciiTheme="minorHAnsi" w:eastAsia="Aptos" w:hAnsiTheme="minorHAnsi"/>
          <w:kern w:val="0"/>
          <w14:ligatures w14:val="none"/>
        </w:rPr>
        <w:t>technologie i surowce, a bezpieczeństwo gospodarcze kształtowane przez szereg czynników podlega w coraz większym stopniu licznym kryzysom. Jednocześnie firmy coraz częściej przenoszą część produkcji bliżej własnych rynków, skracając i</w:t>
      </w:r>
      <w:r w:rsidR="0009003B" w:rsidRPr="007E08F7">
        <w:rPr>
          <w:rFonts w:asciiTheme="minorHAnsi" w:eastAsia="Aptos" w:hAnsiTheme="minorHAnsi"/>
          <w:kern w:val="0"/>
          <w14:ligatures w14:val="none"/>
        </w:rPr>
        <w:t> </w:t>
      </w:r>
      <w:r w:rsidRPr="007E08F7">
        <w:rPr>
          <w:rFonts w:asciiTheme="minorHAnsi" w:eastAsia="Aptos" w:hAnsiTheme="minorHAnsi"/>
          <w:kern w:val="0"/>
          <w14:ligatures w14:val="none"/>
        </w:rPr>
        <w:t>regionalizując łańcuchy wartości.</w:t>
      </w:r>
    </w:p>
    <w:p w14:paraId="644184F2" w14:textId="04C20C15"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Europa znajduje się w okresie </w:t>
      </w:r>
      <w:r w:rsidRPr="007E08F7">
        <w:rPr>
          <w:rFonts w:asciiTheme="minorHAnsi" w:eastAsia="Aptos" w:hAnsiTheme="minorHAnsi"/>
          <w:b/>
          <w:bCs/>
          <w:kern w:val="0"/>
          <w14:ligatures w14:val="none"/>
        </w:rPr>
        <w:t>głębokiej transformacji gospodarczej</w:t>
      </w:r>
      <w:r w:rsidRPr="007E08F7">
        <w:rPr>
          <w:rFonts w:asciiTheme="minorHAnsi" w:eastAsia="Aptos" w:hAnsiTheme="minorHAnsi"/>
          <w:kern w:val="0"/>
          <w14:ligatures w14:val="none"/>
        </w:rPr>
        <w:t>, związanej z</w:t>
      </w:r>
      <w:r w:rsidR="0009003B" w:rsidRPr="007E08F7">
        <w:rPr>
          <w:rFonts w:asciiTheme="minorHAnsi" w:eastAsia="Aptos" w:hAnsiTheme="minorHAnsi"/>
          <w:kern w:val="0"/>
          <w14:ligatures w14:val="none"/>
        </w:rPr>
        <w:t> </w:t>
      </w:r>
      <w:r w:rsidRPr="007E08F7">
        <w:rPr>
          <w:rFonts w:asciiTheme="minorHAnsi" w:eastAsia="Aptos" w:hAnsiTheme="minorHAnsi"/>
          <w:kern w:val="0"/>
          <w14:ligatures w14:val="none"/>
        </w:rPr>
        <w:t xml:space="preserve">polityką klimatyczną, bezpieczeństwem energetycznym, cyfryzacją oraz koniecznością zwiększania produktywności. Rosnące koszty energii, wymagające regulacje środowiskowe oraz konieczność ograniczania emisji, wymuszają zmianę modeli gospodarczych i konsumpcji. Rośnie znaczenie gospodarki o obiegu zamkniętym (GOZ), efektywne wykorzystanie zasobów oraz rozwój nowoczesnych, w tym </w:t>
      </w:r>
      <w:proofErr w:type="spellStart"/>
      <w:r w:rsidRPr="007E08F7">
        <w:rPr>
          <w:rFonts w:asciiTheme="minorHAnsi" w:eastAsia="Aptos" w:hAnsiTheme="minorHAnsi"/>
          <w:kern w:val="0"/>
          <w14:ligatures w14:val="none"/>
        </w:rPr>
        <w:t>ekoefektywnych</w:t>
      </w:r>
      <w:proofErr w:type="spellEnd"/>
      <w:r w:rsidRPr="007E08F7">
        <w:rPr>
          <w:rFonts w:asciiTheme="minorHAnsi" w:eastAsia="Aptos" w:hAnsiTheme="minorHAnsi"/>
          <w:kern w:val="0"/>
          <w14:ligatures w14:val="none"/>
        </w:rPr>
        <w:t xml:space="preserve"> technologii, w szczególności w zakresie energetyki, biotechnologii, cyfryzacji, ale również wykorzystania sztucznej inteligencji czy technologii kosmicznych. C</w:t>
      </w:r>
      <w:r w:rsidRPr="007E08F7">
        <w:rPr>
          <w:rFonts w:asciiTheme="minorHAnsi" w:eastAsia="Aptos" w:hAnsiTheme="minorHAnsi" w:cs="Times New Roman"/>
          <w:kern w:val="0"/>
          <w14:ligatures w14:val="none"/>
        </w:rPr>
        <w:t>oraz większa część</w:t>
      </w:r>
      <w:r w:rsidRPr="007E08F7">
        <w:rPr>
          <w:rFonts w:asciiTheme="minorHAnsi" w:eastAsia="Aptos" w:hAnsiTheme="minorHAnsi"/>
          <w:b/>
          <w:bCs/>
          <w:kern w:val="0"/>
          <w14:ligatures w14:val="none"/>
        </w:rPr>
        <w:t xml:space="preserve"> wartości dodanej przesuwa się do</w:t>
      </w:r>
      <w:r w:rsidR="0009003B" w:rsidRPr="007E08F7">
        <w:rPr>
          <w:rFonts w:asciiTheme="minorHAnsi" w:eastAsia="Aptos" w:hAnsiTheme="minorHAnsi"/>
          <w:b/>
          <w:bCs/>
          <w:kern w:val="0"/>
          <w14:ligatures w14:val="none"/>
        </w:rPr>
        <w:t> </w:t>
      </w:r>
      <w:r w:rsidRPr="007E08F7">
        <w:rPr>
          <w:rFonts w:asciiTheme="minorHAnsi" w:eastAsia="Aptos" w:hAnsiTheme="minorHAnsi"/>
          <w:b/>
          <w:bCs/>
          <w:kern w:val="0"/>
          <w14:ligatures w14:val="none"/>
        </w:rPr>
        <w:t>działalności opartych na wiedzy, technologiach i innowacjach</w:t>
      </w:r>
      <w:r w:rsidRPr="007E08F7">
        <w:rPr>
          <w:rFonts w:asciiTheme="minorHAnsi" w:eastAsia="Aptos" w:hAnsiTheme="minorHAnsi"/>
          <w:kern w:val="0"/>
          <w14:ligatures w14:val="none"/>
        </w:rPr>
        <w:t>.</w:t>
      </w:r>
    </w:p>
    <w:p w14:paraId="40961DBE" w14:textId="1A0F1285" w:rsidR="00E52C92" w:rsidRPr="007E08F7" w:rsidRDefault="00E52C92">
      <w:pPr>
        <w:numPr>
          <w:ilvl w:val="0"/>
          <w:numId w:val="8"/>
        </w:numPr>
        <w:spacing w:before="120" w:after="120" w:line="288" w:lineRule="auto"/>
        <w:ind w:left="426" w:hanging="426"/>
        <w:rPr>
          <w:kern w:val="0"/>
          <w14:ligatures w14:val="none"/>
        </w:rPr>
      </w:pPr>
      <w:r w:rsidRPr="007E08F7">
        <w:rPr>
          <w:rFonts w:asciiTheme="minorHAnsi" w:eastAsia="Aptos" w:hAnsiTheme="minorHAnsi"/>
          <w:kern w:val="0"/>
          <w14:ligatures w14:val="none"/>
        </w:rPr>
        <w:t xml:space="preserve">Wysokie koszty finansowania oraz rosnąca </w:t>
      </w:r>
      <w:r w:rsidRPr="007E08F7">
        <w:rPr>
          <w:rFonts w:asciiTheme="minorHAnsi" w:eastAsia="Aptos" w:hAnsiTheme="minorHAnsi"/>
          <w:b/>
          <w:bCs/>
          <w:kern w:val="0"/>
          <w14:ligatures w14:val="none"/>
        </w:rPr>
        <w:t>konkurencja o inwestycje</w:t>
      </w:r>
      <w:r w:rsidRPr="007E08F7">
        <w:rPr>
          <w:rFonts w:asciiTheme="minorHAnsi" w:eastAsia="Aptos" w:hAnsiTheme="minorHAnsi"/>
          <w:kern w:val="0"/>
          <w14:ligatures w14:val="none"/>
        </w:rPr>
        <w:t xml:space="preserve"> powodują, że regiony coraz silniej konkurują stabilnością otoczenia gospodarczego, zdolnością instytucjonalną oraz skutecznością pozyskiwania kapitału. Ograniczenia zasobów powodują natomiast większą konkurencję o tereny inwestycyjne, wykwalifikowanych pracowników oraz dostęp do wysokiej jakości infrastruktury i</w:t>
      </w:r>
      <w:r w:rsidR="00785123" w:rsidRPr="007E08F7">
        <w:rPr>
          <w:rFonts w:asciiTheme="minorHAnsi" w:eastAsia="Aptos" w:hAnsiTheme="minorHAnsi"/>
          <w:kern w:val="0"/>
          <w14:ligatures w14:val="none"/>
        </w:rPr>
        <w:t> </w:t>
      </w:r>
      <w:r w:rsidRPr="007E08F7">
        <w:rPr>
          <w:rFonts w:asciiTheme="minorHAnsi" w:eastAsia="Aptos" w:hAnsiTheme="minorHAnsi"/>
          <w:kern w:val="0"/>
          <w14:ligatures w14:val="none"/>
        </w:rPr>
        <w:t>usług.</w:t>
      </w:r>
    </w:p>
    <w:p w14:paraId="59FFD617" w14:textId="564C4B67" w:rsidR="00E52C92" w:rsidRPr="007E08F7" w:rsidRDefault="00E52C92">
      <w:pPr>
        <w:numPr>
          <w:ilvl w:val="0"/>
          <w:numId w:val="8"/>
        </w:numPr>
        <w:spacing w:before="120" w:after="120" w:line="288" w:lineRule="auto"/>
        <w:ind w:left="426" w:hanging="426"/>
        <w:rPr>
          <w:rFonts w:eastAsia="Aptos"/>
          <w:kern w:val="0"/>
          <w14:ligatures w14:val="none"/>
        </w:rPr>
      </w:pPr>
      <w:r w:rsidRPr="007E08F7">
        <w:rPr>
          <w:rFonts w:eastAsia="Aptos"/>
          <w:b/>
          <w:bCs/>
          <w:kern w:val="0"/>
          <w14:ligatures w14:val="none"/>
        </w:rPr>
        <w:t xml:space="preserve">Rewolucja sztucznej inteligencji </w:t>
      </w:r>
      <w:r w:rsidRPr="007E08F7">
        <w:rPr>
          <w:rFonts w:eastAsia="Aptos"/>
          <w:kern w:val="0"/>
          <w14:ligatures w14:val="none"/>
        </w:rPr>
        <w:t xml:space="preserve">(AI) przestała być wyłącznie domeną zaawansowanych technologii, stając się </w:t>
      </w:r>
      <w:proofErr w:type="spellStart"/>
      <w:r w:rsidRPr="007E08F7">
        <w:rPr>
          <w:rFonts w:eastAsia="Aptos"/>
          <w:kern w:val="0"/>
          <w14:ligatures w14:val="none"/>
        </w:rPr>
        <w:t>megatrendem</w:t>
      </w:r>
      <w:proofErr w:type="spellEnd"/>
      <w:r w:rsidRPr="007E08F7">
        <w:rPr>
          <w:rFonts w:eastAsia="Aptos"/>
          <w:kern w:val="0"/>
          <w14:ligatures w14:val="none"/>
        </w:rPr>
        <w:t>, który fundamentalnie przekształca społeczeństwa i gospodarki regionów. W wymiarze ekonomicznym AI</w:t>
      </w:r>
      <w:r w:rsidR="00785123" w:rsidRPr="007E08F7">
        <w:rPr>
          <w:rFonts w:eastAsia="Aptos"/>
          <w:kern w:val="0"/>
          <w14:ligatures w14:val="none"/>
        </w:rPr>
        <w:t> </w:t>
      </w:r>
      <w:r w:rsidRPr="007E08F7">
        <w:rPr>
          <w:rFonts w:eastAsia="Aptos"/>
          <w:kern w:val="0"/>
          <w14:ligatures w14:val="none"/>
        </w:rPr>
        <w:t>redefiniuje rynki pracy</w:t>
      </w:r>
      <w:r w:rsidR="00391A43" w:rsidRPr="007E08F7">
        <w:rPr>
          <w:rFonts w:eastAsia="Aptos"/>
          <w:kern w:val="0"/>
          <w14:ligatures w14:val="none"/>
        </w:rPr>
        <w:t>,</w:t>
      </w:r>
      <w:r w:rsidRPr="007E08F7">
        <w:rPr>
          <w:rFonts w:eastAsia="Aptos"/>
          <w:kern w:val="0"/>
          <w14:ligatures w14:val="none"/>
        </w:rPr>
        <w:t xml:space="preserve"> poprzez automatyzację procesów, dostęp do wiedzy </w:t>
      </w:r>
      <w:r w:rsidRPr="007E08F7">
        <w:rPr>
          <w:rFonts w:eastAsia="Aptos"/>
          <w:kern w:val="0"/>
          <w14:ligatures w14:val="none"/>
        </w:rPr>
        <w:lastRenderedPageBreak/>
        <w:t>i</w:t>
      </w:r>
      <w:r w:rsidR="0009003B" w:rsidRPr="007E08F7">
        <w:rPr>
          <w:rFonts w:eastAsia="Aptos"/>
          <w:kern w:val="0"/>
          <w14:ligatures w14:val="none"/>
        </w:rPr>
        <w:t> </w:t>
      </w:r>
      <w:r w:rsidRPr="007E08F7">
        <w:rPr>
          <w:rFonts w:eastAsia="Aptos"/>
          <w:kern w:val="0"/>
          <w14:ligatures w14:val="none"/>
        </w:rPr>
        <w:t>zapotrzebowanie na zupełnie nowe kompetencje cyfrowe. Następuje też ingerencja w sferę publiczną – od ochrony zdrowia, przez edukację, po inteligentne zarządzanie transportem i infrastrukturą miejską. AI staje się też codziennością dla zwykłych ludzi, w skrajnych przypadkach zastępując nawet relacje społeczne. Dynamiczny rozwój modeli sztucznej inteligencji pogłębia jednak polaryzację, generuje konflikty przestrzenne oraz wysokie koszty ekologiczne (olbrzymie zapotrzebowania centrów danych na energię elektryczną i słodką wodę niezbędną do chłodzenia serwerów).</w:t>
      </w:r>
    </w:p>
    <w:p w14:paraId="46C528EA" w14:textId="6D22B0FD" w:rsidR="00E52C92" w:rsidRPr="007E08F7" w:rsidRDefault="00E52C92">
      <w:pPr>
        <w:numPr>
          <w:ilvl w:val="0"/>
          <w:numId w:val="8"/>
        </w:numPr>
        <w:spacing w:before="120" w:after="120" w:line="288" w:lineRule="auto"/>
        <w:ind w:left="426" w:hanging="426"/>
      </w:pPr>
      <w:r w:rsidRPr="007E08F7">
        <w:t xml:space="preserve">Jednym z procesów, które w najwyższym stopniu przekształcają współczesną gospodarkę jest </w:t>
      </w:r>
      <w:r w:rsidRPr="007E08F7">
        <w:rPr>
          <w:b/>
          <w:bCs/>
        </w:rPr>
        <w:t>transformacja energetyczna</w:t>
      </w:r>
      <w:r w:rsidRPr="007E08F7">
        <w:t>. Jej głównymi kierunkami są rozwój OZE, energetyki jądrowej, dekarbonizacja przemysłu i transportu, elektryfikacja gospodarki, poprawa efektywności energetycznej, magazynowanie energii i rozwój inteligentnych sieci. W UE wyznacznikiem postępu jest realizacja celu neutralności klimatycznej i ograniczenie emisji gazów cieplarnianych. W Polsce transformacja energetyczna skupia się na kluczowych kwestiach: rozwoju OZE, energety</w:t>
      </w:r>
      <w:r w:rsidR="00391A43" w:rsidRPr="007E08F7">
        <w:t>ce</w:t>
      </w:r>
      <w:r w:rsidRPr="007E08F7">
        <w:t xml:space="preserve"> jądrowej, rozwoju technologii niskoemisyjnych, budowie magazynów energii oraz budowie i modernizacji infrastruktury sieciowej</w:t>
      </w:r>
      <w:r w:rsidRPr="007E08F7">
        <w:rPr>
          <w:rStyle w:val="Odwoanieprzypisudolnego"/>
        </w:rPr>
        <w:footnoteReference w:id="1"/>
      </w:r>
      <w:r w:rsidRPr="007E08F7">
        <w:t xml:space="preserve">. </w:t>
      </w:r>
    </w:p>
    <w:p w14:paraId="14BF7CD1" w14:textId="6E5C17DB"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t xml:space="preserve">Nasilenie </w:t>
      </w:r>
      <w:r w:rsidRPr="007E08F7">
        <w:rPr>
          <w:b/>
          <w:bCs/>
        </w:rPr>
        <w:t>konfliktów zbrojnych</w:t>
      </w:r>
      <w:r w:rsidRPr="007E08F7">
        <w:t xml:space="preserve"> (m.in. </w:t>
      </w:r>
      <w:proofErr w:type="spellStart"/>
      <w:r w:rsidRPr="007E08F7">
        <w:t>pełnoskalowa</w:t>
      </w:r>
      <w:proofErr w:type="spellEnd"/>
      <w:r w:rsidRPr="007E08F7">
        <w:t xml:space="preserve"> wojna Rosji przeciwko Ukrainie czy wojna na Bliskim Wschodzie) drastycznie zaostrza napięcia geopolityczne. Wpływa to bezpośrednio na codzienne życie obywateli i zachowania przedsiębiorstw. </w:t>
      </w:r>
      <w:r w:rsidR="00391A43" w:rsidRPr="007E08F7">
        <w:t>M</w:t>
      </w:r>
      <w:r w:rsidRPr="007E08F7">
        <w:t xml:space="preserve">iędzynarodowej niestabilności towarzyszy </w:t>
      </w:r>
      <w:r w:rsidRPr="007E08F7">
        <w:rPr>
          <w:b/>
          <w:bCs/>
        </w:rPr>
        <w:t>rosnąca skala zagrożeń hybrydowych, zwłaszcza cyfrowych</w:t>
      </w:r>
      <w:r w:rsidRPr="007E08F7">
        <w:t>. Osłabiają one bezpieczeństwo gospodarcze, energetyczne i społeczne, a także wywierają ogromną presję na systemy zarządzania kryzysowego i ochrony ludności. Kluczowe staje się zatem wzmacnianie odporności państw, regionów i społeczności lokalnych. Jest to szczególnie istotne dla Polski, która znajduje się obecnie wśród pięciu najbardziej atakowanych cyfrowo państw Unii Europejskiej</w:t>
      </w:r>
      <w:r w:rsidRPr="007E08F7">
        <w:rPr>
          <w:rStyle w:val="Odwoanieprzypisudolnego"/>
          <w:rFonts w:asciiTheme="minorHAnsi" w:eastAsia="Aptos" w:hAnsiTheme="minorHAnsi"/>
          <w:kern w:val="0"/>
          <w14:ligatures w14:val="none"/>
        </w:rPr>
        <w:footnoteReference w:id="2"/>
      </w:r>
      <w:r w:rsidRPr="007E08F7">
        <w:rPr>
          <w:rFonts w:asciiTheme="minorHAnsi" w:eastAsia="Aptos" w:hAnsiTheme="minorHAnsi"/>
          <w:kern w:val="0"/>
          <w14:ligatures w14:val="none"/>
        </w:rPr>
        <w:t>.</w:t>
      </w:r>
    </w:p>
    <w:p w14:paraId="11240F4F" w14:textId="77777777"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b/>
          <w:bCs/>
          <w:kern w:val="0"/>
          <w14:ligatures w14:val="none"/>
        </w:rPr>
        <w:t>Rosną zagrożenia wynikające z postępujących zmian klimatu.</w:t>
      </w:r>
      <w:r w:rsidRPr="007E08F7">
        <w:rPr>
          <w:rFonts w:asciiTheme="minorHAnsi" w:eastAsia="Aptos" w:hAnsiTheme="minorHAnsi"/>
          <w:kern w:val="0"/>
          <w14:ligatures w14:val="none"/>
        </w:rPr>
        <w:t xml:space="preserve"> Systematycznie ocieplenie klimatu i zwiększająca się częstotliwość ekstremalnych zjawisk pogodowych, nasila ryzyko kataklizmów m.in. powodzi, suszy i strat środowiskowych. Zjawiska te wywierają coraz większą presję na infrastrukturę, bezpieczeństwo żywnościowe i zasoby przyrodnicze.</w:t>
      </w:r>
    </w:p>
    <w:p w14:paraId="2F6BF1B6" w14:textId="0B683721" w:rsidR="00E52C92" w:rsidRPr="007E08F7" w:rsidRDefault="00E52C92">
      <w:pPr>
        <w:numPr>
          <w:ilvl w:val="0"/>
          <w:numId w:val="8"/>
        </w:numPr>
        <w:spacing w:before="120" w:after="120" w:line="288" w:lineRule="auto"/>
        <w:ind w:left="426" w:hanging="426"/>
        <w:rPr>
          <w:rFonts w:asciiTheme="minorHAnsi" w:eastAsia="Aptos" w:hAnsiTheme="minorHAnsi"/>
          <w:b/>
          <w:bCs/>
          <w:color w:val="215E99" w:themeColor="text2" w:themeTint="BF"/>
          <w:kern w:val="0"/>
          <w:sz w:val="28"/>
          <w:szCs w:val="28"/>
          <w14:ligatures w14:val="none"/>
        </w:rPr>
      </w:pPr>
      <w:r w:rsidRPr="007E08F7">
        <w:rPr>
          <w:rFonts w:eastAsia="Aptos"/>
          <w:kern w:val="0"/>
          <w14:ligatures w14:val="none"/>
        </w:rPr>
        <w:t xml:space="preserve">Współczesne </w:t>
      </w:r>
      <w:r w:rsidRPr="007E08F7">
        <w:rPr>
          <w:rFonts w:eastAsia="Aptos"/>
          <w:b/>
          <w:bCs/>
          <w:kern w:val="0"/>
          <w14:ligatures w14:val="none"/>
        </w:rPr>
        <w:t>procesy rozwojowe podlegają silnej polaryzacji</w:t>
      </w:r>
      <w:r w:rsidRPr="007E08F7">
        <w:rPr>
          <w:rFonts w:eastAsia="Aptos"/>
          <w:kern w:val="0"/>
          <w14:ligatures w14:val="none"/>
        </w:rPr>
        <w:t>, zarówno w</w:t>
      </w:r>
      <w:r w:rsidR="0009003B" w:rsidRPr="007E08F7">
        <w:rPr>
          <w:rFonts w:eastAsia="Aptos"/>
          <w:kern w:val="0"/>
          <w14:ligatures w14:val="none"/>
        </w:rPr>
        <w:t> </w:t>
      </w:r>
      <w:r w:rsidRPr="007E08F7">
        <w:rPr>
          <w:rFonts w:eastAsia="Aptos"/>
          <w:kern w:val="0"/>
          <w14:ligatures w14:val="none"/>
        </w:rPr>
        <w:t xml:space="preserve">wymiarze gospodarczym, jak </w:t>
      </w:r>
      <w:r w:rsidR="00E75137" w:rsidRPr="007E08F7">
        <w:rPr>
          <w:rFonts w:eastAsia="Aptos"/>
          <w:kern w:val="0"/>
          <w14:ligatures w14:val="none"/>
        </w:rPr>
        <w:t>i</w:t>
      </w:r>
      <w:r w:rsidRPr="007E08F7">
        <w:rPr>
          <w:rFonts w:eastAsia="Aptos"/>
          <w:kern w:val="0"/>
          <w14:ligatures w14:val="none"/>
        </w:rPr>
        <w:t xml:space="preserve"> społecznym, w tym demograficznym. Pogłębia się </w:t>
      </w:r>
      <w:r w:rsidRPr="007E08F7">
        <w:rPr>
          <w:rFonts w:eastAsia="Aptos"/>
          <w:kern w:val="0"/>
          <w14:ligatures w14:val="none"/>
        </w:rPr>
        <w:lastRenderedPageBreak/>
        <w:t>dystans między centrami wzrostu a obszarami peryferyjnymi. Następuje asymetryczne przyciąganie kapitału, innowacji oraz kadr o najwyższych kompetencjach przez kluczowe metropolie, co odbywa się kosztem demograficznego i gospodarczego drenażu pozostałych terytoriów. W konsekwencji nierówności te potęgują zróżnicowany dostęp do wiedzy, technologii</w:t>
      </w:r>
      <w:r w:rsidR="00E75137" w:rsidRPr="007E08F7">
        <w:rPr>
          <w:rFonts w:eastAsia="Aptos"/>
          <w:kern w:val="0"/>
          <w14:ligatures w14:val="none"/>
        </w:rPr>
        <w:t>,</w:t>
      </w:r>
      <w:r w:rsidRPr="007E08F7">
        <w:rPr>
          <w:rFonts w:eastAsia="Aptos"/>
          <w:kern w:val="0"/>
          <w14:ligatures w14:val="none"/>
        </w:rPr>
        <w:t xml:space="preserve"> a także podstawowych zasobów, w tym usług publicznych.</w:t>
      </w:r>
    </w:p>
    <w:p w14:paraId="5B24ACCE" w14:textId="77777777" w:rsidR="00E52C92" w:rsidRPr="007E08F7" w:rsidRDefault="00E52C92">
      <w:pPr>
        <w:numPr>
          <w:ilvl w:val="0"/>
          <w:numId w:val="8"/>
        </w:numPr>
        <w:spacing w:before="120" w:after="120" w:line="288" w:lineRule="auto"/>
        <w:ind w:left="426" w:hanging="426"/>
        <w:rPr>
          <w:rFonts w:asciiTheme="minorHAnsi" w:eastAsia="Aptos" w:hAnsiTheme="minorHAnsi"/>
          <w:b/>
          <w:bCs/>
          <w:color w:val="215E99" w:themeColor="text2" w:themeTint="BF"/>
          <w:kern w:val="0"/>
          <w:sz w:val="28"/>
          <w:szCs w:val="28"/>
          <w14:ligatures w14:val="none"/>
        </w:rPr>
      </w:pPr>
      <w:r w:rsidRPr="007E08F7">
        <w:rPr>
          <w:rFonts w:eastAsia="Aptos"/>
          <w:b/>
          <w:bCs/>
          <w:kern w:val="0"/>
          <w14:ligatures w14:val="none"/>
        </w:rPr>
        <w:t>Starzenie się społeczeństw</w:t>
      </w:r>
      <w:r w:rsidRPr="007E08F7">
        <w:rPr>
          <w:rFonts w:eastAsia="Aptos"/>
          <w:kern w:val="0"/>
          <w14:ligatures w14:val="none"/>
        </w:rPr>
        <w:t xml:space="preserve"> oraz spadek liczby osób w wieku produkcyjnym stają się jednym z głównych ograniczeń rozwojowych Europy. Postępujący spadek dzietności oraz trwała zmiana struktury wieku mieszkańców prowadzą do głębokich przeobrażeń społecznych i gospodarczych. Na skutek zachodzących zmian demograficznych </w:t>
      </w:r>
      <w:r w:rsidRPr="007E08F7">
        <w:rPr>
          <w:rFonts w:eastAsia="Aptos"/>
          <w:b/>
          <w:bCs/>
          <w:kern w:val="0"/>
          <w14:ligatures w14:val="none"/>
        </w:rPr>
        <w:t xml:space="preserve">rośnie konkurencja o zasoby pracy, </w:t>
      </w:r>
      <w:r w:rsidRPr="007E08F7">
        <w:rPr>
          <w:rFonts w:eastAsia="Aptos"/>
          <w:kern w:val="0"/>
          <w14:ligatures w14:val="none"/>
        </w:rPr>
        <w:t>a także</w:t>
      </w:r>
      <w:r w:rsidRPr="007E08F7">
        <w:rPr>
          <w:rFonts w:eastAsia="Aptos"/>
          <w:b/>
          <w:bCs/>
          <w:kern w:val="0"/>
          <w14:ligatures w14:val="none"/>
        </w:rPr>
        <w:t xml:space="preserve"> presja na system ochrony zdrowia i usługi społeczne</w:t>
      </w:r>
      <w:r w:rsidRPr="007E08F7">
        <w:rPr>
          <w:rFonts w:eastAsia="Aptos"/>
          <w:kern w:val="0"/>
          <w14:ligatures w14:val="none"/>
        </w:rPr>
        <w:t>, zwłaszcza w obszarze geriatrii, opieki długoterminowej i wsparcia środowiskowego dla osób starszych.</w:t>
      </w:r>
    </w:p>
    <w:p w14:paraId="290644F0" w14:textId="3CA7991B" w:rsidR="00E52C92" w:rsidRPr="007E08F7" w:rsidRDefault="00E52C92">
      <w:pPr>
        <w:numPr>
          <w:ilvl w:val="0"/>
          <w:numId w:val="8"/>
        </w:numPr>
        <w:spacing w:before="120" w:after="120" w:line="288" w:lineRule="auto"/>
        <w:ind w:left="426" w:hanging="426"/>
        <w:rPr>
          <w:rFonts w:asciiTheme="minorHAnsi" w:eastAsia="Aptos" w:hAnsiTheme="minorHAnsi"/>
          <w:b/>
          <w:bCs/>
          <w:color w:val="215E99" w:themeColor="text2" w:themeTint="BF"/>
          <w:kern w:val="0"/>
          <w:sz w:val="28"/>
          <w:szCs w:val="28"/>
          <w14:ligatures w14:val="none"/>
        </w:rPr>
      </w:pPr>
      <w:r w:rsidRPr="007E08F7">
        <w:rPr>
          <w:rFonts w:asciiTheme="minorHAnsi" w:eastAsia="Aptos" w:hAnsiTheme="minorHAnsi"/>
          <w:kern w:val="0"/>
          <w14:ligatures w14:val="none"/>
        </w:rPr>
        <w:t xml:space="preserve">Położenie Pomorza powoduje </w:t>
      </w:r>
      <w:r w:rsidRPr="007E08F7">
        <w:rPr>
          <w:rFonts w:asciiTheme="minorHAnsi" w:eastAsia="Aptos" w:hAnsiTheme="minorHAnsi"/>
          <w:b/>
          <w:bCs/>
          <w:kern w:val="0"/>
          <w14:ligatures w14:val="none"/>
        </w:rPr>
        <w:t>konieczność wzmacniania odporności</w:t>
      </w:r>
      <w:r w:rsidRPr="007E08F7">
        <w:rPr>
          <w:rFonts w:asciiTheme="minorHAnsi" w:eastAsia="Aptos" w:hAnsiTheme="minorHAnsi"/>
          <w:kern w:val="0"/>
          <w14:ligatures w14:val="none"/>
        </w:rPr>
        <w:t xml:space="preserve"> regionu. Nadmorski charakter województwa, zagrożenie bezpieczeństwa wynikające z</w:t>
      </w:r>
      <w:r w:rsidR="0009003B" w:rsidRPr="007E08F7">
        <w:rPr>
          <w:rFonts w:asciiTheme="minorHAnsi" w:eastAsia="Aptos" w:hAnsiTheme="minorHAnsi"/>
          <w:kern w:val="0"/>
          <w14:ligatures w14:val="none"/>
        </w:rPr>
        <w:t> </w:t>
      </w:r>
      <w:r w:rsidRPr="007E08F7">
        <w:rPr>
          <w:rFonts w:asciiTheme="minorHAnsi" w:eastAsia="Aptos" w:hAnsiTheme="minorHAnsi"/>
          <w:kern w:val="0"/>
          <w14:ligatures w14:val="none"/>
        </w:rPr>
        <w:t>bezpośredniego położenia przy granicy z Rosją, obecność portów w Gdańsku i</w:t>
      </w:r>
      <w:r w:rsidR="0009003B" w:rsidRPr="007E08F7">
        <w:rPr>
          <w:rFonts w:asciiTheme="minorHAnsi" w:eastAsia="Aptos" w:hAnsiTheme="minorHAnsi"/>
          <w:kern w:val="0"/>
          <w14:ligatures w14:val="none"/>
        </w:rPr>
        <w:t> </w:t>
      </w:r>
      <w:r w:rsidRPr="007E08F7">
        <w:rPr>
          <w:rFonts w:asciiTheme="minorHAnsi" w:eastAsia="Aptos" w:hAnsiTheme="minorHAnsi"/>
          <w:kern w:val="0"/>
          <w14:ligatures w14:val="none"/>
        </w:rPr>
        <w:t>Gdyni, infrastruktura energetyczna, transportowa i logistyczna oraz powiązania z</w:t>
      </w:r>
      <w:r w:rsidR="0009003B" w:rsidRPr="007E08F7">
        <w:rPr>
          <w:rFonts w:asciiTheme="minorHAnsi" w:eastAsia="Aptos" w:hAnsiTheme="minorHAnsi"/>
          <w:kern w:val="0"/>
          <w14:ligatures w14:val="none"/>
        </w:rPr>
        <w:t> </w:t>
      </w:r>
      <w:r w:rsidRPr="007E08F7">
        <w:rPr>
          <w:rFonts w:asciiTheme="minorHAnsi" w:eastAsia="Aptos" w:hAnsiTheme="minorHAnsi"/>
          <w:kern w:val="0"/>
          <w14:ligatures w14:val="none"/>
        </w:rPr>
        <w:t>obszarem Morza Bałtyckiego powodują, że zagrożenia geopolityczne, gospodarcze i klimatyczne mogą oddziaływać nie tylko lokalnie, ale także wpływają na bezpieczeństwo całej Polski.</w:t>
      </w:r>
    </w:p>
    <w:p w14:paraId="708F6674" w14:textId="68597CA0" w:rsidR="00E52C92" w:rsidRPr="007E08F7" w:rsidRDefault="005A16F7" w:rsidP="002774ED">
      <w:pPr>
        <w:pStyle w:val="Nagwek2"/>
      </w:pPr>
      <w:bookmarkStart w:id="2" w:name="_Toc239772030"/>
      <w:r w:rsidRPr="007E08F7">
        <w:t xml:space="preserve">Sytuacja gospodarcza </w:t>
      </w:r>
      <w:r w:rsidR="00B64E0B" w:rsidRPr="007E08F7">
        <w:t>P</w:t>
      </w:r>
      <w:r w:rsidRPr="007E08F7">
        <w:t>omorza</w:t>
      </w:r>
      <w:bookmarkEnd w:id="2"/>
    </w:p>
    <w:p w14:paraId="485A63FB" w14:textId="77777777" w:rsidR="00E52C92" w:rsidRPr="007E08F7" w:rsidRDefault="00E52C92" w:rsidP="00147499">
      <w:pPr>
        <w:pStyle w:val="Nagwek3"/>
        <w:rPr>
          <w:rFonts w:eastAsia="Aptos"/>
        </w:rPr>
      </w:pPr>
      <w:bookmarkStart w:id="3" w:name="_Toc239772031"/>
      <w:r w:rsidRPr="007E08F7">
        <w:rPr>
          <w:rFonts w:eastAsia="Aptos"/>
        </w:rPr>
        <w:t>Gospodarka w procesie transformacji</w:t>
      </w:r>
      <w:bookmarkEnd w:id="3"/>
    </w:p>
    <w:p w14:paraId="4EBA6721" w14:textId="16730551" w:rsidR="00E52C92" w:rsidRPr="007E08F7" w:rsidRDefault="00E52C92">
      <w:pPr>
        <w:numPr>
          <w:ilvl w:val="0"/>
          <w:numId w:val="8"/>
        </w:numPr>
        <w:spacing w:before="120" w:after="120" w:line="288" w:lineRule="auto"/>
        <w:ind w:left="426" w:hanging="426"/>
        <w:rPr>
          <w:rFonts w:asciiTheme="minorHAnsi" w:eastAsia="Aptos" w:hAnsiTheme="minorHAnsi"/>
          <w:b/>
          <w:bCs/>
          <w:kern w:val="0"/>
          <w14:ligatures w14:val="none"/>
        </w:rPr>
      </w:pPr>
      <w:r w:rsidRPr="007E08F7">
        <w:rPr>
          <w:rFonts w:asciiTheme="minorHAnsi" w:eastAsia="Times New Roman" w:hAnsiTheme="minorHAnsi" w:cs="Times New Roman"/>
          <w:kern w:val="0"/>
          <w:lang w:eastAsia="pl-PL"/>
          <w14:ligatures w14:val="none"/>
        </w:rPr>
        <w:t xml:space="preserve">Pomorskie ma solidne </w:t>
      </w:r>
      <w:r w:rsidRPr="007E08F7">
        <w:rPr>
          <w:rFonts w:asciiTheme="minorHAnsi" w:eastAsia="Times New Roman" w:hAnsiTheme="minorHAnsi" w:cs="Times New Roman"/>
          <w:b/>
          <w:bCs/>
          <w:kern w:val="0"/>
          <w:lang w:eastAsia="pl-PL"/>
          <w14:ligatures w14:val="none"/>
        </w:rPr>
        <w:t>podstawy do wykorzystania transformacji</w:t>
      </w:r>
      <w:r w:rsidRPr="007E08F7">
        <w:rPr>
          <w:rFonts w:asciiTheme="minorHAnsi" w:eastAsia="Times New Roman" w:hAnsiTheme="minorHAnsi" w:cs="Times New Roman"/>
          <w:kern w:val="0"/>
          <w:lang w:eastAsia="pl-PL"/>
          <w14:ligatures w14:val="none"/>
        </w:rPr>
        <w:t xml:space="preserve"> jako impulsu rozwojowego, ponieważ łączy relatywnie silną gospodarkę, wysoki udział przedsiębiorstw w nakładach B+R, powszechną cyfryzację, rosnącą rolę OZE oraz stopniowe przechodzenie gospodarki w kierunku GOZ.</w:t>
      </w:r>
    </w:p>
    <w:p w14:paraId="601339BF" w14:textId="77777777" w:rsidR="00E52C92" w:rsidRPr="007E08F7" w:rsidRDefault="00E52C92">
      <w:pPr>
        <w:numPr>
          <w:ilvl w:val="0"/>
          <w:numId w:val="8"/>
        </w:numPr>
        <w:spacing w:before="120" w:after="120" w:line="288" w:lineRule="auto"/>
        <w:ind w:left="426" w:hanging="426"/>
        <w:rPr>
          <w:rFonts w:asciiTheme="minorHAnsi" w:eastAsia="Aptos" w:hAnsiTheme="minorHAnsi"/>
          <w:b/>
          <w:bCs/>
          <w:kern w:val="0"/>
          <w14:ligatures w14:val="none"/>
        </w:rPr>
      </w:pPr>
      <w:r w:rsidRPr="007E08F7">
        <w:rPr>
          <w:rFonts w:asciiTheme="minorHAnsi" w:eastAsia="Aptos" w:hAnsiTheme="minorHAnsi" w:cs="Times New Roman"/>
          <w:kern w:val="0"/>
          <w14:ligatures w14:val="none"/>
        </w:rPr>
        <w:t xml:space="preserve">Region utrzymuje </w:t>
      </w:r>
      <w:r w:rsidRPr="007E08F7">
        <w:rPr>
          <w:rFonts w:asciiTheme="minorHAnsi" w:eastAsia="Aptos" w:hAnsiTheme="minorHAnsi" w:cs="Times New Roman"/>
          <w:b/>
          <w:bCs/>
          <w:kern w:val="0"/>
          <w14:ligatures w14:val="none"/>
        </w:rPr>
        <w:t>stabilną pozycję gospodarczą</w:t>
      </w:r>
      <w:r w:rsidRPr="007E08F7">
        <w:rPr>
          <w:rFonts w:asciiTheme="minorHAnsi" w:eastAsia="Aptos" w:hAnsiTheme="minorHAnsi" w:cs="Times New Roman"/>
          <w:kern w:val="0"/>
          <w14:ligatures w14:val="none"/>
        </w:rPr>
        <w:t xml:space="preserve"> na tle kraju, zajmując 6. miejsce wśród województw pod względem wielkości PKB oraz</w:t>
      </w:r>
      <w:r w:rsidRPr="007E08F7">
        <w:rPr>
          <w:rFonts w:asciiTheme="minorHAnsi" w:eastAsia="Aptos" w:hAnsiTheme="minorHAnsi" w:cs="Times New Roman"/>
          <w:b/>
          <w:bCs/>
          <w:kern w:val="0"/>
          <w14:ligatures w14:val="none"/>
        </w:rPr>
        <w:t xml:space="preserve"> </w:t>
      </w:r>
      <w:r w:rsidRPr="007E08F7">
        <w:rPr>
          <w:rFonts w:asciiTheme="minorHAnsi" w:eastAsia="Aptos" w:hAnsiTheme="minorHAnsi" w:cs="Times New Roman"/>
          <w:kern w:val="0"/>
          <w14:ligatures w14:val="none"/>
        </w:rPr>
        <w:t>5. miejsce pod względem PKB na 1 mieszkańca. Poziom rozwoju gospodarczego mierzony PKB per capita (PPS) osiągnął 75% średniej UE, co potwierdza stopniowe zmniejszanie dystansu rozwojowego względem średniej unijnej i kwalifikuje województwo do grupy regionów przejściowych. W polityce spójności UE oznacza to etap średniego rozwoju (PKB między 75% a 100% średniej), co wpływa na zmianę zasad finansowania z funduszy europejskich.</w:t>
      </w:r>
    </w:p>
    <w:p w14:paraId="5C9B4FA4" w14:textId="7BE3C4E1"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Times New Roman" w:hAnsiTheme="minorHAnsi" w:cs="Aptos"/>
          <w:bCs/>
          <w:kern w:val="0"/>
          <w:lang w:eastAsia="pl-PL"/>
          <w14:ligatures w14:val="none"/>
        </w:rPr>
        <w:t xml:space="preserve">Gospodarka województwa charakteryzuje się </w:t>
      </w:r>
      <w:r w:rsidRPr="007E08F7">
        <w:rPr>
          <w:rFonts w:asciiTheme="minorHAnsi" w:eastAsia="Times New Roman" w:hAnsiTheme="minorHAnsi" w:cs="Aptos"/>
          <w:b/>
          <w:kern w:val="0"/>
          <w:lang w:eastAsia="pl-PL"/>
          <w14:ligatures w14:val="none"/>
        </w:rPr>
        <w:t>dominującą rolą sektora usług</w:t>
      </w:r>
      <w:r w:rsidRPr="007E08F7">
        <w:rPr>
          <w:rFonts w:asciiTheme="minorHAnsi" w:eastAsia="Times New Roman" w:hAnsiTheme="minorHAnsi" w:cs="Aptos"/>
          <w:bCs/>
          <w:kern w:val="0"/>
          <w:lang w:eastAsia="pl-PL"/>
          <w14:ligatures w14:val="none"/>
        </w:rPr>
        <w:t xml:space="preserve"> w</w:t>
      </w:r>
      <w:r w:rsidR="0009003B" w:rsidRPr="007E08F7">
        <w:rPr>
          <w:rFonts w:asciiTheme="minorHAnsi" w:eastAsia="Times New Roman" w:hAnsiTheme="minorHAnsi" w:cs="Aptos"/>
          <w:bCs/>
          <w:kern w:val="0"/>
          <w:lang w:eastAsia="pl-PL"/>
          <w14:ligatures w14:val="none"/>
        </w:rPr>
        <w:t> </w:t>
      </w:r>
      <w:r w:rsidRPr="007E08F7">
        <w:rPr>
          <w:rFonts w:asciiTheme="minorHAnsi" w:eastAsia="Times New Roman" w:hAnsiTheme="minorHAnsi" w:cs="Aptos"/>
          <w:bCs/>
          <w:kern w:val="0"/>
          <w:lang w:eastAsia="pl-PL"/>
          <w14:ligatures w14:val="none"/>
        </w:rPr>
        <w:t xml:space="preserve">tworzeniu regionalnej wartości dodanej brutto (prawie 62% regionalnego WDB). </w:t>
      </w:r>
      <w:r w:rsidRPr="007E08F7">
        <w:rPr>
          <w:rFonts w:asciiTheme="minorHAnsi" w:eastAsia="Times New Roman" w:hAnsiTheme="minorHAnsi" w:cs="Aptos"/>
          <w:bCs/>
          <w:kern w:val="0"/>
          <w:lang w:eastAsia="pl-PL"/>
          <w14:ligatures w14:val="none"/>
        </w:rPr>
        <w:lastRenderedPageBreak/>
        <w:t>Istotną rolę odgrywa także przemysł i budownictwo (35,7%), w tym przede wszystkim przetwórstwo przemysłowe. Rolnictwo ma relatywnie niewielki udział w</w:t>
      </w:r>
      <w:r w:rsidR="0009003B" w:rsidRPr="007E08F7">
        <w:rPr>
          <w:rFonts w:asciiTheme="minorHAnsi" w:eastAsia="Times New Roman" w:hAnsiTheme="minorHAnsi" w:cs="Aptos"/>
          <w:bCs/>
          <w:kern w:val="0"/>
          <w:lang w:eastAsia="pl-PL"/>
          <w14:ligatures w14:val="none"/>
        </w:rPr>
        <w:t> </w:t>
      </w:r>
      <w:r w:rsidRPr="007E08F7">
        <w:rPr>
          <w:rFonts w:asciiTheme="minorHAnsi" w:eastAsia="Times New Roman" w:hAnsiTheme="minorHAnsi" w:cs="Aptos"/>
          <w:bCs/>
          <w:kern w:val="0"/>
          <w:lang w:eastAsia="pl-PL"/>
          <w14:ligatures w14:val="none"/>
        </w:rPr>
        <w:t>tworzeniu WDB (2,4%), jednak pozostaje ważnym elementem gospodarki regionu, pełniąc funkcje uzupełniające i wspierające inne sektory oraz pozytywnie wpływające na bezpieczeństwo żywnościowe. Pod względem wydajności</w:t>
      </w:r>
      <w:r w:rsidRPr="007E08F7">
        <w:rPr>
          <w:rFonts w:asciiTheme="minorHAnsi" w:eastAsia="Aptos" w:hAnsiTheme="minorHAnsi" w:cs="Aptos"/>
          <w:bCs/>
          <w:kern w:val="0"/>
          <w14:ligatures w14:val="none"/>
        </w:rPr>
        <w:t xml:space="preserve"> pracy</w:t>
      </w:r>
      <w:r w:rsidRPr="007E08F7">
        <w:rPr>
          <w:rStyle w:val="Odwoanieprzypisudolnego"/>
          <w:rFonts w:asciiTheme="minorHAnsi" w:eastAsia="Aptos" w:hAnsiTheme="minorHAnsi" w:cs="Aptos"/>
          <w:bCs/>
          <w:kern w:val="0"/>
          <w14:ligatures w14:val="none"/>
        </w:rPr>
        <w:footnoteReference w:id="3"/>
      </w:r>
      <w:r w:rsidRPr="007E08F7">
        <w:rPr>
          <w:rFonts w:asciiTheme="minorHAnsi" w:eastAsia="Aptos" w:hAnsiTheme="minorHAnsi" w:cs="Aptos"/>
          <w:bCs/>
          <w:kern w:val="0"/>
          <w14:ligatures w14:val="none"/>
        </w:rPr>
        <w:t xml:space="preserve"> region od lat plasuje się na 4. miejscu w kraju, osiągając wyniki przewyższające średnią krajową, co potwierdza jego </w:t>
      </w:r>
      <w:r w:rsidRPr="007E08F7">
        <w:rPr>
          <w:rFonts w:asciiTheme="minorHAnsi" w:eastAsia="Aptos" w:hAnsiTheme="minorHAnsi" w:cs="Aptos"/>
          <w:b/>
          <w:kern w:val="0"/>
          <w14:ligatures w14:val="none"/>
        </w:rPr>
        <w:t>silną pozycję gospodarczą na tle pozostałych województw</w:t>
      </w:r>
      <w:r w:rsidRPr="007E08F7">
        <w:rPr>
          <w:rFonts w:asciiTheme="minorHAnsi" w:eastAsia="Aptos" w:hAnsiTheme="minorHAnsi" w:cs="Aptos"/>
          <w:bCs/>
          <w:kern w:val="0"/>
          <w14:ligatures w14:val="none"/>
        </w:rPr>
        <w:t>.</w:t>
      </w:r>
    </w:p>
    <w:p w14:paraId="4D4B3F10" w14:textId="415868CD"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cs="Times New Roman"/>
          <w:kern w:val="0"/>
          <w14:ligatures w14:val="none"/>
        </w:rPr>
        <w:t xml:space="preserve">W perspektywie kilkunastu lat, w rejonie Zatoki Puckiej, </w:t>
      </w:r>
      <w:r w:rsidRPr="007E08F7">
        <w:rPr>
          <w:rFonts w:asciiTheme="minorHAnsi" w:eastAsia="Aptos" w:hAnsiTheme="minorHAnsi" w:cs="Times New Roman"/>
          <w:b/>
          <w:bCs/>
          <w:kern w:val="0"/>
          <w14:ligatures w14:val="none"/>
        </w:rPr>
        <w:t>planowana jest budowa pierwszej w Polsce kopalni polihalitu</w:t>
      </w:r>
      <w:r w:rsidRPr="007E08F7">
        <w:rPr>
          <w:rFonts w:asciiTheme="minorHAnsi" w:eastAsia="Aptos" w:hAnsiTheme="minorHAnsi" w:cs="Times New Roman"/>
          <w:kern w:val="0"/>
          <w14:ligatures w14:val="none"/>
        </w:rPr>
        <w:t xml:space="preserve"> – soli potasowo-magnezowej. Unikalne w</w:t>
      </w:r>
      <w:r w:rsidR="0009003B"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skali Europy zasoby geologiczne tej soli szacowane są na ponad 300 mln ton i</w:t>
      </w:r>
      <w:r w:rsidR="0009003B"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znajdują zastosowanie przede wszystkim przy produkcji nawozów dla rolnictwa.</w:t>
      </w:r>
      <w:r w:rsidRPr="007E08F7">
        <w:t xml:space="preserve"> </w:t>
      </w:r>
      <w:r w:rsidRPr="007E08F7">
        <w:rPr>
          <w:rFonts w:asciiTheme="minorHAnsi" w:eastAsia="Aptos" w:hAnsiTheme="minorHAnsi" w:cs="Times New Roman"/>
          <w:kern w:val="0"/>
          <w14:ligatures w14:val="none"/>
        </w:rPr>
        <w:t>Polihalit może mieć w przyszłości istotne znaczenie dla bezpieczeństwa żywnościowego i niezależności surowcowej Polski.</w:t>
      </w:r>
    </w:p>
    <w:p w14:paraId="5ABF25A6" w14:textId="77777777"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Wraz z wyzwaniami wynikającymi z geopolityki, w tym napięć i konfliktów zbrojnych, rozwijają się </w:t>
      </w:r>
      <w:r w:rsidRPr="007E08F7">
        <w:rPr>
          <w:rFonts w:asciiTheme="minorHAnsi" w:hAnsiTheme="minorHAnsi"/>
          <w:b/>
          <w:kern w:val="0"/>
          <w14:ligatures w14:val="none"/>
        </w:rPr>
        <w:t>technologie podwójnego zastosowania (dual-</w:t>
      </w:r>
      <w:proofErr w:type="spellStart"/>
      <w:r w:rsidRPr="007E08F7">
        <w:rPr>
          <w:rFonts w:asciiTheme="minorHAnsi" w:hAnsiTheme="minorHAnsi"/>
          <w:b/>
          <w:kern w:val="0"/>
          <w14:ligatures w14:val="none"/>
        </w:rPr>
        <w:t>use</w:t>
      </w:r>
      <w:proofErr w:type="spellEnd"/>
      <w:r w:rsidRPr="007E08F7">
        <w:rPr>
          <w:rFonts w:asciiTheme="minorHAnsi" w:hAnsiTheme="minorHAnsi"/>
          <w:b/>
          <w:kern w:val="0"/>
          <w14:ligatures w14:val="none"/>
        </w:rPr>
        <w:t>)</w:t>
      </w:r>
      <w:r w:rsidRPr="007E08F7">
        <w:rPr>
          <w:rFonts w:asciiTheme="minorHAnsi" w:eastAsia="Aptos" w:hAnsiTheme="minorHAnsi" w:cs="Times New Roman"/>
          <w:kern w:val="0"/>
          <w14:ligatures w14:val="none"/>
        </w:rPr>
        <w:t>, łącząc sektor cywilny i obronny. Jest to element procesu nie tylko budowania odporności regionu, ale także wzmacniania rozwoju i odporności firm w oparciu o ich już istniejący potencjał i kompetencje wdrażania nowoczesnych technologii. W szczególności dotyczy to firm z sektora morskiego, w tym stoczniowego, elektronicznego, telekomunikacyjnego, automatyki, technologii kosmicznych i systemów bezzałogowych.</w:t>
      </w:r>
    </w:p>
    <w:p w14:paraId="72142D2A" w14:textId="1F0966DF"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t xml:space="preserve">Rolnictwo jest ważnym elementem struktury przestrzennej i gospodarczej województwa pomorskiego. Chociaż w sektorze pracuje niespełna 5% zatrudnionych, cechuje je relatywnie duża przeciętna powierzchnia gospodarstw (udział gospodarstw wielkopowierzchniowych jest </w:t>
      </w:r>
      <w:r w:rsidR="00E75137" w:rsidRPr="007E08F7">
        <w:t xml:space="preserve">jednak </w:t>
      </w:r>
      <w:r w:rsidRPr="007E08F7">
        <w:t>mniejszy niż średnio w</w:t>
      </w:r>
      <w:r w:rsidR="0009003B" w:rsidRPr="007E08F7">
        <w:t> </w:t>
      </w:r>
      <w:r w:rsidRPr="007E08F7">
        <w:t xml:space="preserve">kraju). Pozytywną tendencją jest </w:t>
      </w:r>
      <w:r w:rsidRPr="007E08F7">
        <w:rPr>
          <w:b/>
          <w:bCs/>
        </w:rPr>
        <w:t>wzrost liczby gospodarstw ekologicznych</w:t>
      </w:r>
      <w:r w:rsidRPr="007E08F7">
        <w:t>. Między 2023 a 2024 r. w Pomorskiem odnotowano największy w kraju przyrost ich liczby – o 16,6%, a w 2026 r. funkcjonowało już 985 takich gospodarstw</w:t>
      </w:r>
      <w:r w:rsidRPr="007E08F7">
        <w:rPr>
          <w:rStyle w:val="Odwoanieprzypisudolnego"/>
        </w:rPr>
        <w:footnoteReference w:id="4"/>
      </w:r>
      <w:r w:rsidRPr="007E08F7">
        <w:t xml:space="preserve">. Pomorskie rolnictwo osiąga bardzo dobre wyniki pod względem wydajności pracy – w 2023 r. była ona o 40% wyższa od średniej krajowej. </w:t>
      </w:r>
    </w:p>
    <w:p w14:paraId="0B1598A0" w14:textId="3EEEE775"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b/>
          <w:bCs/>
        </w:rPr>
        <w:t xml:space="preserve">Produkcja roślinna </w:t>
      </w:r>
      <w:r w:rsidRPr="007E08F7">
        <w:t>odgrywa istotną rolę w rolnictwie województwa. W strukturze zasiewów dominują zboża, ale ważną grupę upraw stanowią ziemniaki (odpowiadają za prawie 10% krajowej produkcji), buraki cukrowe (8. pozycja wśród regionów), rośliny oleiste (</w:t>
      </w:r>
      <w:r w:rsidRPr="007E08F7">
        <w:rPr>
          <w:rStyle w:val="Pogrubienie"/>
          <w:b w:val="0"/>
          <w:bCs w:val="0"/>
        </w:rPr>
        <w:t>8,5% krajowej produkcji)</w:t>
      </w:r>
      <w:r w:rsidRPr="007E08F7">
        <w:t xml:space="preserve">, warzywa oraz owoce jagodowe. Hodowla </w:t>
      </w:r>
      <w:r w:rsidRPr="007E08F7">
        <w:lastRenderedPageBreak/>
        <w:t xml:space="preserve">zwierząt w województwie pomorskim ma wyraźnie wyspecjalizowany charakter. Region wyróżnia się </w:t>
      </w:r>
      <w:r w:rsidRPr="007E08F7">
        <w:rPr>
          <w:b/>
          <w:bCs/>
        </w:rPr>
        <w:t>wysoką intensywnością chowu trzody chlewnej</w:t>
      </w:r>
      <w:r w:rsidRPr="007E08F7">
        <w:t xml:space="preserve"> – Pomorskie skupia prawie 9% krajowego pogłowia świń, a obsada trzody na 100 ha użytków rolnych była o ponad 70% wyższa od średniej w kraju. Pomorskie znajduje się tym samym w grupie województw o dużym znaczeniu dla krajowej produkcji wieprzowiny, obok m.in. województwa wielkopolskiego, mazowieckiego, łódzkiego i</w:t>
      </w:r>
      <w:r w:rsidR="0009003B" w:rsidRPr="007E08F7">
        <w:t> </w:t>
      </w:r>
      <w:r w:rsidRPr="007E08F7">
        <w:t>kujawsko-pomorskiego.</w:t>
      </w:r>
    </w:p>
    <w:p w14:paraId="568CE90C" w14:textId="1B2436C3" w:rsidR="00E52C92" w:rsidRPr="007E08F7" w:rsidRDefault="00E52C92">
      <w:pPr>
        <w:keepNext/>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Utrzymujący się </w:t>
      </w:r>
      <w:r w:rsidRPr="007E08F7">
        <w:rPr>
          <w:rFonts w:asciiTheme="minorHAnsi" w:eastAsia="Aptos" w:hAnsiTheme="minorHAnsi"/>
          <w:b/>
          <w:bCs/>
          <w:kern w:val="0"/>
          <w14:ligatures w14:val="none"/>
        </w:rPr>
        <w:t>wzrost liczby podmiotów gospodarczych</w:t>
      </w:r>
      <w:r w:rsidRPr="007E08F7">
        <w:rPr>
          <w:rFonts w:asciiTheme="minorHAnsi" w:eastAsia="Aptos" w:hAnsiTheme="minorHAnsi"/>
          <w:kern w:val="0"/>
          <w14:ligatures w14:val="none"/>
        </w:rPr>
        <w:t xml:space="preserve"> w województwie (w</w:t>
      </w:r>
      <w:r w:rsidR="0009003B" w:rsidRPr="007E08F7">
        <w:rPr>
          <w:rFonts w:asciiTheme="minorHAnsi" w:eastAsia="Aptos" w:hAnsiTheme="minorHAnsi"/>
          <w:kern w:val="0"/>
          <w14:ligatures w14:val="none"/>
        </w:rPr>
        <w:t> </w:t>
      </w:r>
      <w:r w:rsidRPr="007E08F7">
        <w:rPr>
          <w:rFonts w:asciiTheme="minorHAnsi" w:eastAsia="Aptos" w:hAnsiTheme="minorHAnsi"/>
          <w:kern w:val="0"/>
          <w14:ligatures w14:val="none"/>
        </w:rPr>
        <w:t xml:space="preserve">ostatniej dekadzie o 35%) świadczy o wysokim poziomie przedsiębiorczości mieszkańców regionu. Pod względem liczby podmiotów wpisanych do rejestru REGON na 10 tys. ludności pomorskie zajmuje 3. miejsce w kraju. </w:t>
      </w:r>
    </w:p>
    <w:p w14:paraId="76D550AA" w14:textId="77777777"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Województwo zajmuje 6. miejsce w Polsce pod względem wartości eksportu na mieszkańca oraz udziału eksportu w PKB</w:t>
      </w:r>
      <w:r w:rsidRPr="007E08F7">
        <w:rPr>
          <w:rStyle w:val="Odwoanieprzypisudolnego"/>
          <w:rFonts w:asciiTheme="minorHAnsi" w:eastAsia="Times New Roman" w:hAnsiTheme="minorHAnsi" w:cs="Times New Roman"/>
          <w:kern w:val="0"/>
          <w:lang w:eastAsia="pl-PL"/>
          <w14:ligatures w14:val="none"/>
        </w:rPr>
        <w:footnoteReference w:id="5"/>
      </w:r>
      <w:r w:rsidRPr="007E08F7">
        <w:rPr>
          <w:rFonts w:asciiTheme="minorHAnsi" w:eastAsia="Times New Roman" w:hAnsiTheme="minorHAnsi" w:cs="Times New Roman"/>
          <w:kern w:val="0"/>
          <w:lang w:eastAsia="pl-PL"/>
          <w14:ligatures w14:val="none"/>
        </w:rPr>
        <w:t>. W strukturze towarowej eksportu dominują maszyny i urządzenia elektryczne, statki, łodzie i konstrukcje pływające oraz ryby, skorupiaki i mięczaki. Najważniejszymi partnerami handlowymi regionu pozostają Niemcy, Francja i Szwecja</w:t>
      </w:r>
      <w:r w:rsidRPr="007E08F7">
        <w:rPr>
          <w:rStyle w:val="Odwoanieprzypisudolnego"/>
          <w:rFonts w:asciiTheme="minorHAnsi" w:eastAsia="Times New Roman" w:hAnsiTheme="minorHAnsi" w:cs="Times New Roman"/>
          <w:kern w:val="0"/>
          <w:lang w:eastAsia="pl-PL"/>
          <w14:ligatures w14:val="none"/>
        </w:rPr>
        <w:footnoteReference w:id="6"/>
      </w:r>
      <w:r w:rsidRPr="007E08F7">
        <w:rPr>
          <w:rFonts w:asciiTheme="minorHAnsi" w:eastAsia="Times New Roman" w:hAnsiTheme="minorHAnsi" w:cs="Times New Roman"/>
          <w:kern w:val="0"/>
          <w:lang w:eastAsia="pl-PL"/>
          <w14:ligatures w14:val="none"/>
        </w:rPr>
        <w:t>.</w:t>
      </w:r>
    </w:p>
    <w:p w14:paraId="70848BC1" w14:textId="0C0EE468"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Aptos" w:hAnsiTheme="minorHAnsi" w:cs="Times New Roman"/>
          <w:kern w:val="0"/>
          <w14:ligatures w14:val="none"/>
        </w:rPr>
        <w:t>Województwo pomorskie odnotowuje również systematyczny wzrost liczby podmiotów z udziałem kapitału zagranicznego. Pod względem ich liczby zajmuje 6. miejsce w kraju, co potwierdza jego istotną pozycję wśród regionów przyciągających inwestycje zagraniczne. Obecność tego typu podmiotów wskazuje na korzystne warunki dla rozwoju działalności gospodarczej oraz dobre powiązania z rynkami zewnętrznymi. Najwięcej inwestycji zagranicznych pochodzi z</w:t>
      </w:r>
      <w:r w:rsidR="0009003B"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Niderlandów, Niemiec i Luksemburga.</w:t>
      </w:r>
    </w:p>
    <w:p w14:paraId="27F27103" w14:textId="6194F127"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Pomorska gospodarka posiada istotny potencjał innowacyjny, chociaż wymaga on dalszego wzmacniania, zwłaszcza w sektorze usług, gdzie odsetek przedsiębiorstw innowacyjnych jest wyraźnie niższy niż w przemyśle (o 8-9 </w:t>
      </w:r>
      <w:proofErr w:type="spellStart"/>
      <w:r w:rsidRPr="007E08F7">
        <w:rPr>
          <w:rFonts w:asciiTheme="minorHAnsi" w:eastAsia="Times New Roman" w:hAnsiTheme="minorHAnsi" w:cs="Times New Roman"/>
          <w:kern w:val="0"/>
          <w:lang w:eastAsia="pl-PL"/>
          <w14:ligatures w14:val="none"/>
        </w:rPr>
        <w:t>p.p</w:t>
      </w:r>
      <w:proofErr w:type="spellEnd"/>
      <w:r w:rsidRPr="007E08F7">
        <w:rPr>
          <w:rFonts w:asciiTheme="minorHAnsi" w:eastAsia="Times New Roman" w:hAnsiTheme="minorHAnsi" w:cs="Times New Roman"/>
          <w:kern w:val="0"/>
          <w:lang w:eastAsia="pl-PL"/>
          <w14:ligatures w14:val="none"/>
        </w:rPr>
        <w:t>.). Wysokie nakłady na działalność innowacyjną (4. miejsce w kraju) oraz dominujący udział przedsiębiorstw w nakładach B+R (ponad 74%) wskazują na istotną rolę biznesu w</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modernizacji gospodarki.</w:t>
      </w:r>
    </w:p>
    <w:p w14:paraId="1AE64A59" w14:textId="69BB4FF7"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Jednocześnie </w:t>
      </w:r>
      <w:r w:rsidRPr="007E08F7">
        <w:rPr>
          <w:rFonts w:asciiTheme="minorHAnsi" w:eastAsia="Times New Roman" w:hAnsiTheme="minorHAnsi" w:cs="Times New Roman"/>
          <w:b/>
          <w:bCs/>
          <w:kern w:val="0"/>
          <w:lang w:eastAsia="pl-PL"/>
          <w14:ligatures w14:val="none"/>
        </w:rPr>
        <w:t>poziom innowacyjności regionu</w:t>
      </w:r>
      <w:r w:rsidRPr="007E08F7">
        <w:rPr>
          <w:rFonts w:asciiTheme="minorHAnsi" w:eastAsia="Times New Roman" w:hAnsiTheme="minorHAnsi" w:cs="Times New Roman"/>
          <w:kern w:val="0"/>
          <w:lang w:eastAsia="pl-PL"/>
          <w14:ligatures w14:val="none"/>
        </w:rPr>
        <w:t xml:space="preserve"> pozostaje niewystarczający w</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 xml:space="preserve">relacji do średniej UE. W rankingu </w:t>
      </w:r>
      <w:proofErr w:type="spellStart"/>
      <w:r w:rsidRPr="007E08F7">
        <w:rPr>
          <w:rFonts w:asciiTheme="minorHAnsi" w:eastAsia="Times New Roman" w:hAnsiTheme="minorHAnsi" w:cs="Times New Roman"/>
          <w:kern w:val="0"/>
          <w:lang w:eastAsia="pl-PL"/>
          <w14:ligatures w14:val="none"/>
        </w:rPr>
        <w:t>Regional</w:t>
      </w:r>
      <w:proofErr w:type="spellEnd"/>
      <w:r w:rsidRPr="007E08F7">
        <w:rPr>
          <w:rFonts w:asciiTheme="minorHAnsi" w:eastAsia="Times New Roman" w:hAnsiTheme="minorHAnsi" w:cs="Times New Roman"/>
          <w:kern w:val="0"/>
          <w:lang w:eastAsia="pl-PL"/>
          <w14:ligatures w14:val="none"/>
        </w:rPr>
        <w:t xml:space="preserve"> </w:t>
      </w:r>
      <w:proofErr w:type="spellStart"/>
      <w:r w:rsidRPr="007E08F7">
        <w:rPr>
          <w:rFonts w:asciiTheme="minorHAnsi" w:eastAsia="Times New Roman" w:hAnsiTheme="minorHAnsi" w:cs="Times New Roman"/>
          <w:kern w:val="0"/>
          <w:lang w:eastAsia="pl-PL"/>
          <w14:ligatures w14:val="none"/>
        </w:rPr>
        <w:t>Innovation</w:t>
      </w:r>
      <w:proofErr w:type="spellEnd"/>
      <w:r w:rsidRPr="007E08F7">
        <w:rPr>
          <w:rFonts w:asciiTheme="minorHAnsi" w:eastAsia="Times New Roman" w:hAnsiTheme="minorHAnsi" w:cs="Times New Roman"/>
          <w:kern w:val="0"/>
          <w:lang w:eastAsia="pl-PL"/>
          <w14:ligatures w14:val="none"/>
        </w:rPr>
        <w:t xml:space="preserve"> Index 2025 prezentowanym przez Komisję Europejską, oceniającym poziom innowacji regionów Europy na podstawie m.in. ich nakładów na badania, rozwoju technologii </w:t>
      </w:r>
      <w:r w:rsidRPr="007E08F7">
        <w:rPr>
          <w:rFonts w:asciiTheme="minorHAnsi" w:eastAsia="Times New Roman" w:hAnsiTheme="minorHAnsi" w:cs="Times New Roman"/>
          <w:kern w:val="0"/>
          <w:lang w:eastAsia="pl-PL"/>
          <w14:ligatures w14:val="none"/>
        </w:rPr>
        <w:lastRenderedPageBreak/>
        <w:t>oraz współpracy nauki z biznesem, Pomorskie zajęło dopiero 176. miejsce na 241 badanych regionów Europy</w:t>
      </w:r>
      <w:r w:rsidRPr="007E08F7">
        <w:rPr>
          <w:rStyle w:val="Odwoanieprzypisudolnego"/>
          <w:rFonts w:asciiTheme="minorHAnsi" w:eastAsia="Times New Roman" w:hAnsiTheme="minorHAnsi" w:cs="Times New Roman"/>
          <w:kern w:val="0"/>
          <w:lang w:eastAsia="pl-PL"/>
          <w14:ligatures w14:val="none"/>
        </w:rPr>
        <w:footnoteReference w:id="7"/>
      </w:r>
      <w:r w:rsidRPr="007E08F7">
        <w:rPr>
          <w:rFonts w:asciiTheme="minorHAnsi" w:eastAsia="Times New Roman" w:hAnsiTheme="minorHAnsi" w:cs="Times New Roman"/>
          <w:kern w:val="0"/>
          <w:lang w:eastAsia="pl-PL"/>
          <w14:ligatures w14:val="none"/>
        </w:rPr>
        <w:t>.</w:t>
      </w:r>
    </w:p>
    <w:p w14:paraId="0FBEEC09" w14:textId="77777777"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Regionalny system innowacji jest ukierunkowany przez cztery Inteligentne Specjalizacje Pomorza (ISP): Technologie </w:t>
      </w:r>
      <w:proofErr w:type="spellStart"/>
      <w:r w:rsidRPr="007E08F7">
        <w:rPr>
          <w:rFonts w:asciiTheme="minorHAnsi" w:eastAsia="Times New Roman" w:hAnsiTheme="minorHAnsi" w:cs="Times New Roman"/>
          <w:kern w:val="0"/>
          <w:lang w:eastAsia="pl-PL"/>
          <w14:ligatures w14:val="none"/>
        </w:rPr>
        <w:t>offshore</w:t>
      </w:r>
      <w:proofErr w:type="spellEnd"/>
      <w:r w:rsidRPr="007E08F7">
        <w:rPr>
          <w:rFonts w:asciiTheme="minorHAnsi" w:eastAsia="Times New Roman" w:hAnsiTheme="minorHAnsi" w:cs="Times New Roman"/>
          <w:kern w:val="0"/>
          <w:lang w:eastAsia="pl-PL"/>
          <w14:ligatures w14:val="none"/>
        </w:rPr>
        <w:t xml:space="preserve"> i portowo-logistyczne (ISP 1), Technologie interaktywne w środowisku nasyconym informacyjnie (ISP 2), Zielona energia – technologie </w:t>
      </w:r>
      <w:proofErr w:type="spellStart"/>
      <w:r w:rsidRPr="007E08F7">
        <w:rPr>
          <w:rFonts w:asciiTheme="minorHAnsi" w:eastAsia="Times New Roman" w:hAnsiTheme="minorHAnsi" w:cs="Times New Roman"/>
          <w:kern w:val="0"/>
          <w:lang w:eastAsia="pl-PL"/>
          <w14:ligatures w14:val="none"/>
        </w:rPr>
        <w:t>ekoefektywne</w:t>
      </w:r>
      <w:proofErr w:type="spellEnd"/>
      <w:r w:rsidRPr="007E08F7">
        <w:rPr>
          <w:rFonts w:asciiTheme="minorHAnsi" w:eastAsia="Times New Roman" w:hAnsiTheme="minorHAnsi" w:cs="Times New Roman"/>
          <w:kern w:val="0"/>
          <w:lang w:eastAsia="pl-PL"/>
          <w14:ligatures w14:val="none"/>
        </w:rPr>
        <w:t xml:space="preserve"> (ISP 3) oraz Wspólne Zdrowie – technologie medyczne w zakresie zdrowia ludzi, zwierząt i środowiska jako jednego ekosystemu (ISP 4). Ich uszczegółowieniem są Regionalne Agendy Badawcze (RAB), identyfikujące priorytetowe kierunki badań, rozwoju technologii i współpracy przedsiębiorstw z sektorem nauki. </w:t>
      </w:r>
    </w:p>
    <w:p w14:paraId="2A71D57C" w14:textId="77777777"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Istotne znaczenie dla rozwoju województwa mają branże zidentyfikowane na poziomie poszczególnych powiatów</w:t>
      </w:r>
      <w:r w:rsidRPr="007E08F7">
        <w:rPr>
          <w:rFonts w:asciiTheme="minorHAnsi" w:eastAsia="Aptos" w:hAnsiTheme="minorHAnsi"/>
          <w:kern w:val="0"/>
          <w14:ligatures w14:val="none"/>
        </w:rPr>
        <w:t xml:space="preserve">. Odgrywają one istotną rolę w rozwoju tych obszarów, przyciągają inwestycje i koncentrują zatrudnienie. Wśród nich wyróżnia się: budowlaną, </w:t>
      </w:r>
      <w:proofErr w:type="spellStart"/>
      <w:r w:rsidRPr="007E08F7">
        <w:rPr>
          <w:rFonts w:asciiTheme="minorHAnsi" w:eastAsia="Aptos" w:hAnsiTheme="minorHAnsi"/>
          <w:kern w:val="0"/>
          <w14:ligatures w14:val="none"/>
        </w:rPr>
        <w:t>drzewno</w:t>
      </w:r>
      <w:proofErr w:type="spellEnd"/>
      <w:r w:rsidRPr="007E08F7">
        <w:rPr>
          <w:rFonts w:asciiTheme="minorHAnsi" w:eastAsia="Aptos" w:hAnsiTheme="minorHAnsi"/>
          <w:kern w:val="0"/>
          <w14:ligatures w14:val="none"/>
        </w:rPr>
        <w:t>-meblarską, kreatywną, rolno-spożywczą, metalowo-maszynową, tworzyw sztucznych, a także turystyczną i czasu wolnego, w tym turystykę biznesową i przemysł spotkań</w:t>
      </w:r>
      <w:r w:rsidRPr="007E08F7">
        <w:rPr>
          <w:rStyle w:val="Odwoanieprzypisudolnego"/>
          <w:rFonts w:asciiTheme="minorHAnsi" w:eastAsia="Aptos" w:hAnsiTheme="minorHAnsi"/>
          <w:kern w:val="0"/>
          <w14:ligatures w14:val="none"/>
        </w:rPr>
        <w:footnoteReference w:id="8"/>
      </w:r>
      <w:r w:rsidRPr="007E08F7">
        <w:rPr>
          <w:rFonts w:asciiTheme="minorHAnsi" w:eastAsia="Aptos" w:hAnsiTheme="minorHAnsi"/>
          <w:kern w:val="0"/>
          <w14:ligatures w14:val="none"/>
        </w:rPr>
        <w:t>.</w:t>
      </w:r>
    </w:p>
    <w:p w14:paraId="6C17C312" w14:textId="77777777" w:rsidR="00E52C92" w:rsidRPr="007E08F7" w:rsidRDefault="00E52C92" w:rsidP="00147499">
      <w:pPr>
        <w:pStyle w:val="Nagwek3"/>
        <w:rPr>
          <w:rFonts w:eastAsia="Times New Roman"/>
          <w:lang w:eastAsia="pl-PL"/>
        </w:rPr>
      </w:pPr>
      <w:bookmarkStart w:id="4" w:name="_Toc239772032"/>
      <w:r w:rsidRPr="007E08F7">
        <w:rPr>
          <w:rFonts w:eastAsia="Times New Roman"/>
          <w:lang w:eastAsia="pl-PL"/>
        </w:rPr>
        <w:t>Transformacja i bezpieczeństwo energetyczne</w:t>
      </w:r>
      <w:bookmarkEnd w:id="4"/>
    </w:p>
    <w:p w14:paraId="66A37F40" w14:textId="6510B6C8"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Transformacja energetyczna prowadzi do stopniowego przesuwania się głównych biegunów energetycznych Polski z południa kraju na północ, w </w:t>
      </w:r>
      <w:r w:rsidR="00E75137" w:rsidRPr="007E08F7">
        <w:rPr>
          <w:rFonts w:asciiTheme="minorHAnsi" w:eastAsia="Times New Roman" w:hAnsiTheme="minorHAnsi" w:cs="Times New Roman"/>
          <w:kern w:val="0"/>
          <w:lang w:eastAsia="pl-PL"/>
          <w14:ligatures w14:val="none"/>
        </w:rPr>
        <w:t xml:space="preserve">szczególności </w:t>
      </w:r>
      <w:r w:rsidRPr="007E08F7">
        <w:rPr>
          <w:rFonts w:asciiTheme="minorHAnsi" w:eastAsia="Times New Roman" w:hAnsiTheme="minorHAnsi" w:cs="Times New Roman"/>
          <w:kern w:val="0"/>
          <w:lang w:eastAsia="pl-PL"/>
          <w14:ligatures w14:val="none"/>
        </w:rPr>
        <w:t>na</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 xml:space="preserve">Pomorze. Jest to jeden z najważniejszych przejawów </w:t>
      </w:r>
      <w:r w:rsidRPr="007E08F7">
        <w:rPr>
          <w:rFonts w:asciiTheme="minorHAnsi" w:eastAsia="Times New Roman" w:hAnsiTheme="minorHAnsi" w:cs="Times New Roman"/>
          <w:b/>
          <w:bCs/>
          <w:kern w:val="0"/>
          <w:lang w:eastAsia="pl-PL"/>
          <w14:ligatures w14:val="none"/>
        </w:rPr>
        <w:t>zmiany modelu rozwoju regionu</w:t>
      </w:r>
      <w:r w:rsidRPr="007E08F7">
        <w:rPr>
          <w:rFonts w:asciiTheme="minorHAnsi" w:eastAsia="Times New Roman" w:hAnsiTheme="minorHAnsi" w:cs="Times New Roman"/>
          <w:kern w:val="0"/>
          <w:lang w:eastAsia="pl-PL"/>
          <w14:ligatures w14:val="none"/>
        </w:rPr>
        <w:t xml:space="preserve">. Perspektywy transformacji energetycznej województwa pomorskiego wykraczają jednak poza rozwój odnawialnych źródeł energii i obejmują budowę nowego, zintegrowanego systemu energetycznego opartego na komplementarnym wykorzystaniu energetyki odnawialnej </w:t>
      </w:r>
      <w:r w:rsidR="00E75137" w:rsidRPr="007E08F7">
        <w:rPr>
          <w:rFonts w:asciiTheme="minorHAnsi" w:eastAsia="Times New Roman" w:hAnsiTheme="minorHAnsi" w:cs="Times New Roman"/>
          <w:kern w:val="0"/>
          <w:lang w:eastAsia="pl-PL"/>
          <w14:ligatures w14:val="none"/>
        </w:rPr>
        <w:t xml:space="preserve">(zwłaszcza morskiej energetyki wiatrowej) </w:t>
      </w:r>
      <w:r w:rsidRPr="007E08F7">
        <w:rPr>
          <w:rFonts w:asciiTheme="minorHAnsi" w:eastAsia="Times New Roman" w:hAnsiTheme="minorHAnsi" w:cs="Times New Roman"/>
          <w:kern w:val="0"/>
          <w:lang w:eastAsia="pl-PL"/>
          <w14:ligatures w14:val="none"/>
        </w:rPr>
        <w:t>i</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jądrowej, technologii wodorowych oraz inteligentnych systemów zarządzania energią.</w:t>
      </w:r>
    </w:p>
    <w:p w14:paraId="2955A1E1" w14:textId="77777777"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Zużycie energii elektrycznej na mieszkańca jest niższe niż średnio w kraju. Sprzyja to </w:t>
      </w:r>
      <w:r w:rsidRPr="007E08F7">
        <w:rPr>
          <w:rFonts w:asciiTheme="minorHAnsi" w:eastAsia="Times New Roman" w:hAnsiTheme="minorHAnsi" w:cs="Times New Roman"/>
          <w:b/>
          <w:bCs/>
          <w:kern w:val="0"/>
          <w:lang w:eastAsia="pl-PL"/>
          <w14:ligatures w14:val="none"/>
        </w:rPr>
        <w:t>osiągnięciu samowystarczalności energetycznej</w:t>
      </w:r>
      <w:r w:rsidRPr="007E08F7">
        <w:rPr>
          <w:rFonts w:asciiTheme="minorHAnsi" w:eastAsia="Times New Roman" w:hAnsiTheme="minorHAnsi" w:cs="Times New Roman"/>
          <w:kern w:val="0"/>
          <w:lang w:eastAsia="pl-PL"/>
          <w14:ligatures w14:val="none"/>
        </w:rPr>
        <w:t>, Produkcja energii elektrycznej pokrywa już ponad 80% regionalnego zapotrzebowania na energię, co wskazuje na rosnącą, choć nadal niepełną samowystarczalność regionu.</w:t>
      </w:r>
    </w:p>
    <w:p w14:paraId="552FF03B" w14:textId="26A47504"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Pomorskie wzmacnia pozycję jako jeden z krajowych </w:t>
      </w:r>
      <w:r w:rsidRPr="007E08F7">
        <w:rPr>
          <w:rFonts w:asciiTheme="minorHAnsi" w:eastAsia="Times New Roman" w:hAnsiTheme="minorHAnsi" w:cs="Times New Roman"/>
          <w:b/>
          <w:bCs/>
          <w:kern w:val="0"/>
          <w:lang w:eastAsia="pl-PL"/>
          <w14:ligatures w14:val="none"/>
        </w:rPr>
        <w:t>liderów produkcji energii z</w:t>
      </w:r>
      <w:r w:rsidR="00356423" w:rsidRPr="007E08F7">
        <w:rPr>
          <w:rFonts w:asciiTheme="minorHAnsi" w:eastAsia="Times New Roman" w:hAnsiTheme="minorHAnsi" w:cs="Times New Roman"/>
          <w:b/>
          <w:bCs/>
          <w:kern w:val="0"/>
          <w:lang w:eastAsia="pl-PL"/>
          <w14:ligatures w14:val="none"/>
        </w:rPr>
        <w:t> </w:t>
      </w:r>
      <w:r w:rsidRPr="007E08F7">
        <w:rPr>
          <w:rFonts w:asciiTheme="minorHAnsi" w:eastAsia="Times New Roman" w:hAnsiTheme="minorHAnsi" w:cs="Times New Roman"/>
          <w:b/>
          <w:bCs/>
          <w:kern w:val="0"/>
          <w:lang w:eastAsia="pl-PL"/>
          <w14:ligatures w14:val="none"/>
        </w:rPr>
        <w:t>OZE</w:t>
      </w:r>
      <w:r w:rsidRPr="007E08F7">
        <w:rPr>
          <w:rFonts w:asciiTheme="minorHAnsi" w:eastAsia="Times New Roman" w:hAnsiTheme="minorHAnsi" w:cs="Times New Roman"/>
          <w:kern w:val="0"/>
          <w:lang w:eastAsia="pl-PL"/>
          <w14:ligatures w14:val="none"/>
        </w:rPr>
        <w:t>, co jest ważnym czynnikiem poprawy regionalnego bezpieczeństwa energetycznego. Produkcja energii elektrycznej z OZE lokuje Pomorskie na 4. miejscu w kraju i odpowiada za prawie 67% energii elektrycznej wytwarzanej</w:t>
      </w:r>
      <w:r w:rsidRPr="007E08F7">
        <w:rPr>
          <w:rFonts w:asciiTheme="minorHAnsi" w:eastAsia="Times New Roman" w:hAnsiTheme="minorHAnsi" w:cs="Times New Roman"/>
          <w:b/>
          <w:bCs/>
          <w:kern w:val="0"/>
          <w:lang w:eastAsia="pl-PL"/>
          <w14:ligatures w14:val="none"/>
        </w:rPr>
        <w:t xml:space="preserve"> </w:t>
      </w:r>
      <w:r w:rsidRPr="007E08F7">
        <w:rPr>
          <w:rFonts w:asciiTheme="minorHAnsi" w:eastAsia="Times New Roman" w:hAnsiTheme="minorHAnsi" w:cs="Times New Roman"/>
          <w:kern w:val="0"/>
          <w:lang w:eastAsia="pl-PL"/>
          <w14:ligatures w14:val="none"/>
        </w:rPr>
        <w:lastRenderedPageBreak/>
        <w:t>w</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regionie. Pokrywa to niemal 54% regionalnego zapotrzebowania na energię elektryczną, co potwierdza rosnące znaczenie OZE. Szczególnie wysoka dynamika wzrostu cechuje źródła fotowoltaiczne, a ich łączna moc kształtuje się na poziomie 550 MW, co stanowi 27% mocy zainstalowanych w źródłach odnawialnych na Pomorzu</w:t>
      </w:r>
      <w:r w:rsidRPr="007E08F7">
        <w:rPr>
          <w:rStyle w:val="Odwoanieprzypisudolnego"/>
          <w:rFonts w:asciiTheme="minorHAnsi" w:eastAsia="Times New Roman" w:hAnsiTheme="minorHAnsi" w:cs="Times New Roman"/>
          <w:kern w:val="0"/>
          <w:lang w:eastAsia="pl-PL"/>
          <w14:ligatures w14:val="none"/>
        </w:rPr>
        <w:footnoteReference w:id="9"/>
      </w:r>
      <w:r w:rsidRPr="007E08F7">
        <w:rPr>
          <w:rFonts w:asciiTheme="minorHAnsi" w:eastAsia="Times New Roman" w:hAnsiTheme="minorHAnsi" w:cs="Times New Roman"/>
          <w:kern w:val="0"/>
          <w:lang w:eastAsia="pl-PL"/>
          <w14:ligatures w14:val="none"/>
        </w:rPr>
        <w:t>. Wielkość mocy zainstalowanej w źródłach odnawialnych na Pomorzu w</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 xml:space="preserve">2024 r. odpowiadała za około 10% ogółu mocy zainstalowanej w kraju (bez </w:t>
      </w:r>
      <w:proofErr w:type="spellStart"/>
      <w:r w:rsidRPr="007E08F7">
        <w:rPr>
          <w:rFonts w:asciiTheme="minorHAnsi" w:eastAsia="Times New Roman" w:hAnsiTheme="minorHAnsi" w:cs="Times New Roman"/>
          <w:kern w:val="0"/>
          <w:lang w:eastAsia="pl-PL"/>
          <w14:ligatures w14:val="none"/>
        </w:rPr>
        <w:t>mikroinstalacji</w:t>
      </w:r>
      <w:proofErr w:type="spellEnd"/>
      <w:r w:rsidRPr="007E08F7">
        <w:rPr>
          <w:rFonts w:asciiTheme="minorHAnsi" w:eastAsia="Times New Roman" w:hAnsiTheme="minorHAnsi" w:cs="Times New Roman"/>
          <w:kern w:val="0"/>
          <w:lang w:eastAsia="pl-PL"/>
          <w14:ligatures w14:val="none"/>
        </w:rPr>
        <w:t xml:space="preserve"> </w:t>
      </w:r>
      <w:proofErr w:type="spellStart"/>
      <w:r w:rsidRPr="007E08F7">
        <w:rPr>
          <w:rFonts w:asciiTheme="minorHAnsi" w:eastAsia="Times New Roman" w:hAnsiTheme="minorHAnsi" w:cs="Times New Roman"/>
          <w:kern w:val="0"/>
          <w:lang w:eastAsia="pl-PL"/>
          <w14:ligatures w14:val="none"/>
        </w:rPr>
        <w:t>prosumenckich</w:t>
      </w:r>
      <w:proofErr w:type="spellEnd"/>
      <w:r w:rsidRPr="007E08F7">
        <w:rPr>
          <w:rFonts w:asciiTheme="minorHAnsi" w:eastAsia="Times New Roman" w:hAnsiTheme="minorHAnsi" w:cs="Times New Roman"/>
          <w:kern w:val="0"/>
          <w:lang w:eastAsia="pl-PL"/>
          <w14:ligatures w14:val="none"/>
        </w:rPr>
        <w:t xml:space="preserve"> i instalacji współspalania). </w:t>
      </w:r>
    </w:p>
    <w:p w14:paraId="2B1FE9D1" w14:textId="77777777"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Specyfiką pomorskiego jest </w:t>
      </w:r>
      <w:r w:rsidRPr="007E08F7">
        <w:rPr>
          <w:rFonts w:asciiTheme="minorHAnsi" w:eastAsia="Times New Roman" w:hAnsiTheme="minorHAnsi" w:cs="Times New Roman"/>
          <w:b/>
          <w:bCs/>
          <w:kern w:val="0"/>
          <w:lang w:eastAsia="pl-PL"/>
          <w14:ligatures w14:val="none"/>
        </w:rPr>
        <w:t>silna rola energetyki wiatrowej</w:t>
      </w:r>
      <w:r w:rsidRPr="007E08F7">
        <w:rPr>
          <w:rFonts w:asciiTheme="minorHAnsi" w:eastAsia="Times New Roman" w:hAnsiTheme="minorHAnsi" w:cs="Times New Roman"/>
          <w:kern w:val="0"/>
          <w:lang w:eastAsia="pl-PL"/>
          <w14:ligatures w14:val="none"/>
        </w:rPr>
        <w:t>, z której pochodzi większość produkowanej w regionie energii elektrycznej. Dominują lądowe elektrownie wiatrowe, które odpowiadają za 70% mocy zainstalowanej w regionie</w:t>
      </w:r>
      <w:r w:rsidRPr="007E08F7">
        <w:rPr>
          <w:rStyle w:val="Odwoanieprzypisudolnego"/>
          <w:rFonts w:asciiTheme="minorHAnsi" w:eastAsia="Times New Roman" w:hAnsiTheme="minorHAnsi" w:cs="Times New Roman"/>
          <w:kern w:val="0"/>
          <w:lang w:eastAsia="pl-PL"/>
          <w14:ligatures w14:val="none"/>
        </w:rPr>
        <w:footnoteReference w:id="10"/>
      </w:r>
      <w:r w:rsidRPr="007E08F7">
        <w:rPr>
          <w:rFonts w:asciiTheme="minorHAnsi" w:eastAsia="Times New Roman" w:hAnsiTheme="minorHAnsi" w:cs="Times New Roman"/>
          <w:kern w:val="0"/>
          <w:lang w:eastAsia="pl-PL"/>
          <w14:ligatures w14:val="none"/>
        </w:rPr>
        <w:t>. Nadmorska lokalizacja i korzystne warunki naturalne stanowią duży potencjał dalszego rozwoju energetyki wiatrowej, w tym morskiej energetyki wiatrowej (</w:t>
      </w:r>
      <w:proofErr w:type="spellStart"/>
      <w:r w:rsidRPr="007E08F7">
        <w:rPr>
          <w:rFonts w:asciiTheme="minorHAnsi" w:eastAsia="Times New Roman" w:hAnsiTheme="minorHAnsi" w:cs="Times New Roman"/>
          <w:kern w:val="0"/>
          <w:lang w:eastAsia="pl-PL"/>
          <w14:ligatures w14:val="none"/>
        </w:rPr>
        <w:t>offshore</w:t>
      </w:r>
      <w:proofErr w:type="spellEnd"/>
      <w:r w:rsidRPr="007E08F7">
        <w:rPr>
          <w:rFonts w:asciiTheme="minorHAnsi" w:eastAsia="Times New Roman" w:hAnsiTheme="minorHAnsi" w:cs="Times New Roman"/>
          <w:kern w:val="0"/>
          <w:lang w:eastAsia="pl-PL"/>
          <w14:ligatures w14:val="none"/>
        </w:rPr>
        <w:t>).</w:t>
      </w:r>
    </w:p>
    <w:p w14:paraId="0259BD5D" w14:textId="78548C85"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Ze względu na lokalizację </w:t>
      </w:r>
      <w:r w:rsidRPr="007E08F7">
        <w:rPr>
          <w:rFonts w:asciiTheme="minorHAnsi" w:eastAsia="Times New Roman" w:hAnsiTheme="minorHAnsi" w:cs="Times New Roman"/>
          <w:b/>
          <w:bCs/>
          <w:kern w:val="0"/>
          <w:lang w:eastAsia="pl-PL"/>
          <w14:ligatures w14:val="none"/>
        </w:rPr>
        <w:t>pierwszej w Polsce elektrowni jądrowej</w:t>
      </w:r>
      <w:r w:rsidRPr="007E08F7">
        <w:rPr>
          <w:rFonts w:asciiTheme="minorHAnsi" w:eastAsia="Times New Roman" w:hAnsiTheme="minorHAnsi" w:cs="Times New Roman"/>
          <w:kern w:val="0"/>
          <w:lang w:eastAsia="pl-PL"/>
          <w14:ligatures w14:val="none"/>
        </w:rPr>
        <w:t xml:space="preserve"> oraz potencjał rozwoju </w:t>
      </w:r>
      <w:r w:rsidRPr="007E08F7">
        <w:rPr>
          <w:rFonts w:asciiTheme="minorHAnsi" w:eastAsia="Times New Roman" w:hAnsiTheme="minorHAnsi" w:cs="Times New Roman"/>
          <w:b/>
          <w:bCs/>
          <w:kern w:val="0"/>
          <w:lang w:eastAsia="pl-PL"/>
          <w14:ligatures w14:val="none"/>
        </w:rPr>
        <w:t>morskiej energetyki wiatrowej</w:t>
      </w:r>
      <w:r w:rsidRPr="007E08F7">
        <w:rPr>
          <w:rFonts w:asciiTheme="minorHAnsi" w:eastAsia="Times New Roman" w:hAnsiTheme="minorHAnsi" w:cs="Times New Roman"/>
          <w:kern w:val="0"/>
          <w:lang w:eastAsia="pl-PL"/>
          <w14:ligatures w14:val="none"/>
        </w:rPr>
        <w:t>, zmieni się biegun energetyczny Polski. Pomorskie stanie się jednym z kluczowych obszarów kraju w kontekście rozwoju gospodarczego i bezpieczeństwa. Energetyka jądrowa będzie stanowić podstawę stabilnych, niskoemisyjnych dostaw energii elektrycznej, zwiększając bezpieczeństwo energetyczne kraju oraz ograniczając strukturalny deficyt produkcji energii w regionie. Z kolei morska energetyka wiatrowa stworzy warunki do rozwoju nowych gałęzi przemysłu oraz produkcji energii odnawialnej na niespotykaną dotąd skalę. W dłuższej perspektywie wzmocnią stabilność systemu energetycznego i</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ograniczą deficyt własnej produkcji energii.</w:t>
      </w:r>
    </w:p>
    <w:p w14:paraId="47C2425F" w14:textId="2B34BF52" w:rsidR="00E52C92" w:rsidRPr="007E08F7" w:rsidRDefault="00E52C92">
      <w:pPr>
        <w:numPr>
          <w:ilvl w:val="0"/>
          <w:numId w:val="8"/>
        </w:numPr>
        <w:spacing w:before="120" w:after="120" w:line="288" w:lineRule="auto"/>
        <w:ind w:left="426" w:hanging="426"/>
      </w:pPr>
      <w:r w:rsidRPr="007E08F7">
        <w:rPr>
          <w:rFonts w:asciiTheme="minorHAnsi" w:eastAsia="Times New Roman" w:hAnsiTheme="minorHAnsi" w:cs="Times New Roman"/>
          <w:kern w:val="0"/>
          <w:lang w:eastAsia="pl-PL"/>
          <w14:ligatures w14:val="none"/>
        </w:rPr>
        <w:t xml:space="preserve">Istotny potencjał rozwoju Pomorza wiąże się także z wykorzystaniem </w:t>
      </w:r>
      <w:r w:rsidRPr="007E08F7">
        <w:rPr>
          <w:rFonts w:asciiTheme="minorHAnsi" w:eastAsia="Times New Roman" w:hAnsiTheme="minorHAnsi" w:cs="Times New Roman"/>
          <w:b/>
          <w:bCs/>
          <w:kern w:val="0"/>
          <w:lang w:eastAsia="pl-PL"/>
          <w14:ligatures w14:val="none"/>
        </w:rPr>
        <w:t>zeroemisyjnych technologii wodorowych</w:t>
      </w:r>
      <w:r w:rsidRPr="007E08F7">
        <w:rPr>
          <w:rFonts w:asciiTheme="minorHAnsi" w:eastAsia="Times New Roman" w:hAnsiTheme="minorHAnsi" w:cs="Times New Roman"/>
          <w:kern w:val="0"/>
          <w:lang w:eastAsia="pl-PL"/>
          <w14:ligatures w14:val="none"/>
        </w:rPr>
        <w:t xml:space="preserve">. Technologie wodorowe należy postrzegać jako element integrujący sektor elektroenergetyczny, gazowy, przemysłowy i transportowy. Zielony wodór oraz inne gazy zdekarbonizowane, odnawialne i niskoemisyjne – w szczególności zielony metanol, amoniak, paliwa syntetyczne oraz </w:t>
      </w:r>
      <w:proofErr w:type="spellStart"/>
      <w:r w:rsidRPr="007E08F7">
        <w:rPr>
          <w:rFonts w:asciiTheme="minorHAnsi" w:eastAsia="Times New Roman" w:hAnsiTheme="minorHAnsi" w:cs="Times New Roman"/>
          <w:kern w:val="0"/>
          <w:lang w:eastAsia="pl-PL"/>
          <w14:ligatures w14:val="none"/>
        </w:rPr>
        <w:t>BioLNG</w:t>
      </w:r>
      <w:proofErr w:type="spellEnd"/>
      <w:r w:rsidRPr="007E08F7">
        <w:rPr>
          <w:rFonts w:asciiTheme="minorHAnsi" w:eastAsia="Times New Roman" w:hAnsiTheme="minorHAnsi" w:cs="Times New Roman"/>
          <w:kern w:val="0"/>
          <w:lang w:eastAsia="pl-PL"/>
          <w14:ligatures w14:val="none"/>
        </w:rPr>
        <w:t xml:space="preserve"> – mogą stać się podstawą dekarbonizacji sektorów trudnych do elektryfikacji, takich jak transport morski, przemysł chemiczny, rafineryjny i ciężki oraz lotnictwo.</w:t>
      </w:r>
      <w:r w:rsidRPr="007E08F7">
        <w:t xml:space="preserve"> Może również znaleźć zastosowanie jako paliwo w</w:t>
      </w:r>
      <w:r w:rsidR="00356423" w:rsidRPr="007E08F7">
        <w:t> </w:t>
      </w:r>
      <w:r w:rsidRPr="007E08F7">
        <w:t xml:space="preserve">transporcie publicznym, ciężkim transporcie drogowym, lotniczym, żegludze oraz na niezelektryfikowanych liniach kolejowych. Zagospodarowanie wodoru pochodzącego z nadwyżek energii elektrycznej z niestabilnych źródeł OZE może poprawić stabilizację systemów energetycznych i wspierać jego bilansowanie, </w:t>
      </w:r>
      <w:r w:rsidRPr="007E08F7">
        <w:lastRenderedPageBreak/>
        <w:t>a</w:t>
      </w:r>
      <w:r w:rsidR="00356423" w:rsidRPr="007E08F7">
        <w:t> </w:t>
      </w:r>
      <w:r w:rsidRPr="007E08F7">
        <w:t>także umożliwiać długoterminowe i sezonowe magazynowanie energii, w tym w</w:t>
      </w:r>
      <w:r w:rsidR="00356423" w:rsidRPr="007E08F7">
        <w:t> </w:t>
      </w:r>
      <w:r w:rsidRPr="007E08F7">
        <w:t xml:space="preserve">kawernach solnych. Wodór może być wykorzystany także do produkcji energii elektrycznej i ciepła w okresach zwiększonego zapotrzebowania. Porty morskie mogą natomiast być lokalnymi </w:t>
      </w:r>
      <w:r w:rsidR="00E75137" w:rsidRPr="007E08F7">
        <w:t>hub</w:t>
      </w:r>
      <w:r w:rsidRPr="007E08F7">
        <w:t>ami produkcji, magazynowania, dystrybucji i</w:t>
      </w:r>
      <w:r w:rsidR="00356423" w:rsidRPr="007E08F7">
        <w:t> </w:t>
      </w:r>
      <w:r w:rsidRPr="007E08F7">
        <w:t>handlu wodorem oraz jego pochodnymi</w:t>
      </w:r>
      <w:r w:rsidRPr="007E08F7">
        <w:rPr>
          <w:rStyle w:val="Odwoanieprzypisudolnego"/>
        </w:rPr>
        <w:footnoteReference w:id="11"/>
      </w:r>
      <w:r w:rsidRPr="007E08F7">
        <w:t>.</w:t>
      </w:r>
    </w:p>
    <w:p w14:paraId="02790917" w14:textId="2764B356"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Warunkiem efektywnego wykorzystania potencjału energetyki odnawialnej, jądrowej i technologii wodorowych będzie rozwój inteligentnych systemów zarządzania energią, magazynów energii oraz elastycznych mechanizmów bilansowania lokalnego i regionalnego. W tym kontekście szczególnego znaczenia nabiera koncepcja Pomorskiego Archipelagu Wysp Energetycznych (</w:t>
      </w:r>
      <w:r w:rsidR="00E75137" w:rsidRPr="007E08F7">
        <w:rPr>
          <w:rFonts w:asciiTheme="minorHAnsi" w:eastAsia="Times New Roman" w:hAnsiTheme="minorHAnsi" w:cs="Times New Roman"/>
          <w:kern w:val="0"/>
          <w:lang w:eastAsia="pl-PL"/>
          <w14:ligatures w14:val="none"/>
        </w:rPr>
        <w:t>l</w:t>
      </w:r>
      <w:r w:rsidRPr="007E08F7">
        <w:rPr>
          <w:rFonts w:asciiTheme="minorHAnsi" w:eastAsia="Times New Roman" w:hAnsiTheme="minorHAnsi" w:cs="Times New Roman"/>
          <w:kern w:val="0"/>
          <w:lang w:eastAsia="pl-PL"/>
          <w14:ligatures w14:val="none"/>
        </w:rPr>
        <w:t xml:space="preserve">okalne </w:t>
      </w:r>
      <w:r w:rsidR="00E75137" w:rsidRPr="007E08F7">
        <w:rPr>
          <w:rFonts w:asciiTheme="minorHAnsi" w:eastAsia="Times New Roman" w:hAnsiTheme="minorHAnsi" w:cs="Times New Roman"/>
          <w:kern w:val="0"/>
          <w:lang w:eastAsia="pl-PL"/>
          <w14:ligatures w14:val="none"/>
        </w:rPr>
        <w:t>o</w:t>
      </w:r>
      <w:r w:rsidRPr="007E08F7">
        <w:rPr>
          <w:rFonts w:asciiTheme="minorHAnsi" w:eastAsia="Times New Roman" w:hAnsiTheme="minorHAnsi" w:cs="Times New Roman"/>
          <w:kern w:val="0"/>
          <w:lang w:eastAsia="pl-PL"/>
          <w14:ligatures w14:val="none"/>
        </w:rPr>
        <w:t xml:space="preserve">bszary </w:t>
      </w:r>
      <w:r w:rsidR="00E75137" w:rsidRPr="007E08F7">
        <w:rPr>
          <w:rFonts w:asciiTheme="minorHAnsi" w:eastAsia="Times New Roman" w:hAnsiTheme="minorHAnsi" w:cs="Times New Roman"/>
          <w:kern w:val="0"/>
          <w:lang w:eastAsia="pl-PL"/>
          <w14:ligatures w14:val="none"/>
        </w:rPr>
        <w:t>b</w:t>
      </w:r>
      <w:r w:rsidRPr="007E08F7">
        <w:rPr>
          <w:rFonts w:asciiTheme="minorHAnsi" w:eastAsia="Times New Roman" w:hAnsiTheme="minorHAnsi" w:cs="Times New Roman"/>
          <w:kern w:val="0"/>
          <w:lang w:eastAsia="pl-PL"/>
          <w14:ligatures w14:val="none"/>
        </w:rPr>
        <w:t>ilansowania), która może stanowić regionalną platformę integrującą źródła wytwórcze, magazyny energii, odbiorców, systemy ciepłownicze, infrastrukturę portową oraz przyszłe huby zielonej energii. Takie podejście pozwoli w pełni wykorzystać potencjał gospodarczy regionu, zwiększyć odporność infrastruktury oraz stworzyć nowe przewagi konkurencyjne województwa pomorskiego. Dostęp do nowych, dużych mocy elektrycznych może przyciągnąć kapitał w postaci nowoczesnych, czystych, ale energochłonnych branż.</w:t>
      </w:r>
    </w:p>
    <w:p w14:paraId="785E61E9" w14:textId="0C8C842C"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Przejawem transformacji energetycznej jest też </w:t>
      </w:r>
      <w:r w:rsidRPr="007E08F7">
        <w:rPr>
          <w:rFonts w:asciiTheme="minorHAnsi" w:eastAsia="Times New Roman" w:hAnsiTheme="minorHAnsi" w:cs="Times New Roman"/>
          <w:b/>
          <w:bCs/>
          <w:kern w:val="0"/>
          <w:lang w:eastAsia="pl-PL"/>
          <w14:ligatures w14:val="none"/>
        </w:rPr>
        <w:t>rozwój energetyki rozproszonej</w:t>
      </w:r>
      <w:r w:rsidRPr="007E08F7">
        <w:rPr>
          <w:rFonts w:asciiTheme="minorHAnsi" w:eastAsia="Times New Roman" w:hAnsiTheme="minorHAnsi" w:cs="Times New Roman"/>
          <w:kern w:val="0"/>
          <w:lang w:eastAsia="pl-PL"/>
          <w14:ligatures w14:val="none"/>
        </w:rPr>
        <w:t>, w</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tym na obszarach wiejskich. Potwierdza to wzrost liczby spółdzielni energetycznych, jako przykładu społeczności energetycznej. W regionie zarejestrowano 54</w:t>
      </w:r>
      <w:r w:rsidRPr="007E08F7">
        <w:t xml:space="preserve"> </w:t>
      </w:r>
      <w:r w:rsidRPr="007E08F7">
        <w:rPr>
          <w:rFonts w:asciiTheme="minorHAnsi" w:eastAsia="Times New Roman" w:hAnsiTheme="minorHAnsi" w:cs="Times New Roman"/>
          <w:kern w:val="0"/>
          <w:lang w:eastAsia="pl-PL"/>
          <w14:ligatures w14:val="none"/>
        </w:rPr>
        <w:t>spółdzielnie energetyczne</w:t>
      </w:r>
      <w:r w:rsidRPr="007E08F7">
        <w:rPr>
          <w:rStyle w:val="Odwoanieprzypisudolnego"/>
          <w:rFonts w:asciiTheme="minorHAnsi" w:eastAsia="Times New Roman" w:hAnsiTheme="minorHAnsi" w:cs="Times New Roman"/>
          <w:kern w:val="0"/>
          <w:lang w:eastAsia="pl-PL"/>
          <w14:ligatures w14:val="none"/>
        </w:rPr>
        <w:footnoteReference w:id="12"/>
      </w:r>
      <w:r w:rsidRPr="007E08F7">
        <w:rPr>
          <w:rFonts w:asciiTheme="minorHAnsi" w:eastAsia="Times New Roman" w:hAnsiTheme="minorHAnsi" w:cs="Times New Roman"/>
          <w:kern w:val="0"/>
          <w:lang w:eastAsia="pl-PL"/>
          <w14:ligatures w14:val="none"/>
        </w:rPr>
        <w:t>, które wykorzystują przede wszystkim instalacje fotowoltaiczne. Ich łączna moc zainstalowana stanowi 8,0% mocy zainstalowanej w spółdzielniach energetycznych w Polsce</w:t>
      </w:r>
      <w:r w:rsidRPr="007E08F7">
        <w:rPr>
          <w:rStyle w:val="Odwoanieprzypisudolnego"/>
          <w:rFonts w:asciiTheme="minorHAnsi" w:eastAsia="Times New Roman" w:hAnsiTheme="minorHAnsi" w:cs="Times New Roman"/>
          <w:kern w:val="0"/>
          <w:lang w:eastAsia="pl-PL"/>
          <w14:ligatures w14:val="none"/>
        </w:rPr>
        <w:footnoteReference w:id="13"/>
      </w:r>
      <w:r w:rsidRPr="007E08F7">
        <w:rPr>
          <w:rFonts w:asciiTheme="minorHAnsi" w:eastAsia="Times New Roman" w:hAnsiTheme="minorHAnsi" w:cs="Times New Roman"/>
          <w:kern w:val="0"/>
          <w:lang w:eastAsia="pl-PL"/>
          <w14:ligatures w14:val="none"/>
        </w:rPr>
        <w:t>.</w:t>
      </w:r>
      <w:r w:rsidRPr="007E08F7">
        <w:t xml:space="preserve"> </w:t>
      </w:r>
    </w:p>
    <w:p w14:paraId="57DF2E71" w14:textId="63DEEE75"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b/>
          <w:bCs/>
          <w:kern w:val="0"/>
          <w:lang w:eastAsia="pl-PL"/>
          <w14:ligatures w14:val="none"/>
        </w:rPr>
        <w:t>Klastry energii</w:t>
      </w:r>
      <w:r w:rsidRPr="007E08F7">
        <w:rPr>
          <w:rFonts w:asciiTheme="minorHAnsi" w:eastAsia="Times New Roman" w:hAnsiTheme="minorHAnsi" w:cs="Times New Roman"/>
          <w:kern w:val="0"/>
          <w:lang w:eastAsia="pl-PL"/>
          <w14:ligatures w14:val="none"/>
        </w:rPr>
        <w:t xml:space="preserve"> to inny przykład lokalnych inicjatyw energetycznych, funkcjonujących w wielu miejscach regionu, łączących wytwórców, odbiorców i</w:t>
      </w:r>
      <w:r w:rsidR="00356423"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dystrybutorów energii</w:t>
      </w:r>
      <w:r w:rsidRPr="007E08F7">
        <w:rPr>
          <w:rStyle w:val="Odwoanieprzypisudolnego"/>
          <w:rFonts w:asciiTheme="minorHAnsi" w:eastAsia="Times New Roman" w:hAnsiTheme="minorHAnsi" w:cs="Times New Roman"/>
          <w:kern w:val="0"/>
          <w:lang w:eastAsia="pl-PL"/>
          <w14:ligatures w14:val="none"/>
        </w:rPr>
        <w:footnoteReference w:id="14"/>
      </w:r>
      <w:r w:rsidRPr="007E08F7">
        <w:rPr>
          <w:rFonts w:asciiTheme="minorHAnsi" w:eastAsia="Times New Roman" w:hAnsiTheme="minorHAnsi" w:cs="Times New Roman"/>
          <w:kern w:val="0"/>
          <w:lang w:eastAsia="pl-PL"/>
          <w14:ligatures w14:val="none"/>
        </w:rPr>
        <w:t xml:space="preserve">. Inicjatywy tego rodzaju powstają nie tylko na obszarze województwa, ale również obejmują obszar poza granicami regionu, jak np. Bałtycki Klaster </w:t>
      </w:r>
      <w:proofErr w:type="spellStart"/>
      <w:r w:rsidRPr="007E08F7">
        <w:rPr>
          <w:rFonts w:asciiTheme="minorHAnsi" w:eastAsia="Times New Roman" w:hAnsiTheme="minorHAnsi" w:cs="Times New Roman"/>
          <w:kern w:val="0"/>
          <w:lang w:eastAsia="pl-PL"/>
          <w14:ligatures w14:val="none"/>
        </w:rPr>
        <w:t>Ekoenergetyczny</w:t>
      </w:r>
      <w:proofErr w:type="spellEnd"/>
      <w:r w:rsidRPr="007E08F7">
        <w:rPr>
          <w:rStyle w:val="Odwoanieprzypisudolnego"/>
          <w:rFonts w:asciiTheme="minorHAnsi" w:eastAsia="Times New Roman" w:hAnsiTheme="minorHAnsi" w:cs="Times New Roman"/>
          <w:kern w:val="0"/>
          <w:lang w:eastAsia="pl-PL"/>
          <w14:ligatures w14:val="none"/>
        </w:rPr>
        <w:footnoteReference w:id="15"/>
      </w:r>
      <w:r w:rsidRPr="007E08F7">
        <w:rPr>
          <w:rFonts w:asciiTheme="minorHAnsi" w:eastAsia="Times New Roman" w:hAnsiTheme="minorHAnsi" w:cs="Times New Roman"/>
          <w:kern w:val="0"/>
          <w:lang w:eastAsia="pl-PL"/>
          <w14:ligatures w14:val="none"/>
        </w:rPr>
        <w:t>, obejmujący również województwo</w:t>
      </w:r>
      <w:r w:rsidRPr="007E08F7">
        <w:t xml:space="preserve"> </w:t>
      </w:r>
      <w:r w:rsidRPr="007E08F7">
        <w:rPr>
          <w:rFonts w:asciiTheme="minorHAnsi" w:eastAsia="Times New Roman" w:hAnsiTheme="minorHAnsi" w:cs="Times New Roman"/>
          <w:kern w:val="0"/>
          <w:lang w:eastAsia="pl-PL"/>
          <w14:ligatures w14:val="none"/>
        </w:rPr>
        <w:t>warmińsko-mazurskie. Najważniejszym celem klastrów energetycznych jest dążenie do</w:t>
      </w:r>
      <w:r w:rsidRPr="007E08F7">
        <w:t xml:space="preserve"> </w:t>
      </w:r>
      <w:r w:rsidRPr="007E08F7">
        <w:rPr>
          <w:rFonts w:asciiTheme="minorHAnsi" w:eastAsia="Times New Roman" w:hAnsiTheme="minorHAnsi" w:cs="Times New Roman"/>
          <w:kern w:val="0"/>
          <w:lang w:eastAsia="pl-PL"/>
          <w14:ligatures w14:val="none"/>
        </w:rPr>
        <w:t>samowystarczalności energetycznej oraz efektywnego wykorzystania lokalnych zasobów, zwłaszcza wsparcia rozwoju OZE.</w:t>
      </w:r>
    </w:p>
    <w:p w14:paraId="09FB9016" w14:textId="77777777" w:rsidR="00036E37"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kern w:val="0"/>
          <w:lang w:eastAsia="pl-PL"/>
          <w14:ligatures w14:val="none"/>
        </w:rPr>
        <w:t xml:space="preserve">Dalszy rozwój OZE może być ograniczany przez </w:t>
      </w:r>
      <w:r w:rsidRPr="007E08F7">
        <w:rPr>
          <w:rFonts w:asciiTheme="minorHAnsi" w:eastAsia="Times New Roman" w:hAnsiTheme="minorHAnsi" w:cs="Times New Roman"/>
          <w:b/>
          <w:bCs/>
          <w:kern w:val="0"/>
          <w:lang w:eastAsia="pl-PL"/>
          <w14:ligatures w14:val="none"/>
        </w:rPr>
        <w:t>stan infrastruktury sieciowej</w:t>
      </w:r>
      <w:r w:rsidRPr="007E08F7">
        <w:rPr>
          <w:rFonts w:asciiTheme="minorHAnsi" w:eastAsia="Times New Roman" w:hAnsiTheme="minorHAnsi" w:cs="Times New Roman"/>
          <w:kern w:val="0"/>
          <w:lang w:eastAsia="pl-PL"/>
          <w14:ligatures w14:val="none"/>
        </w:rPr>
        <w:t xml:space="preserve">. Infrastruktura przesyłowa i dystrybucyjna jest niedostatecznie rozwinięta, pogarsza </w:t>
      </w:r>
      <w:r w:rsidRPr="007E08F7">
        <w:rPr>
          <w:rFonts w:asciiTheme="minorHAnsi" w:eastAsia="Times New Roman" w:hAnsiTheme="minorHAnsi" w:cs="Times New Roman"/>
          <w:kern w:val="0"/>
          <w:lang w:eastAsia="pl-PL"/>
          <w14:ligatures w14:val="none"/>
        </w:rPr>
        <w:lastRenderedPageBreak/>
        <w:t>się stan techniczny tej sieci, co utrudnia przyłączanie nowych źródeł wytwórczych, zwiększa ryzyko awaryjności, przeciążeń i strat energii, co może obniżać bezpieczeństwo energetyczne regionu.</w:t>
      </w:r>
    </w:p>
    <w:p w14:paraId="7803E9ED" w14:textId="35E76ADE" w:rsidR="00E52C92" w:rsidRPr="007E08F7" w:rsidRDefault="00E52C92" w:rsidP="00147499">
      <w:pPr>
        <w:pStyle w:val="Nagwek3"/>
        <w:rPr>
          <w:rFonts w:eastAsia="Times New Roman"/>
          <w:lang w:eastAsia="pl-PL"/>
        </w:rPr>
      </w:pPr>
      <w:bookmarkStart w:id="5" w:name="_Toc239772033"/>
      <w:r w:rsidRPr="007E08F7">
        <w:rPr>
          <w:rFonts w:eastAsia="Aptos"/>
        </w:rPr>
        <w:t>Gospodarka odpadami i efektywne wykorzystanie zasobów</w:t>
      </w:r>
      <w:bookmarkEnd w:id="5"/>
    </w:p>
    <w:p w14:paraId="4932191D" w14:textId="4D5ABA42" w:rsidR="00E52C92" w:rsidRPr="007E08F7" w:rsidRDefault="00E52C92">
      <w:pPr>
        <w:numPr>
          <w:ilvl w:val="0"/>
          <w:numId w:val="15"/>
        </w:numPr>
        <w:spacing w:before="120" w:after="120" w:line="288" w:lineRule="auto"/>
        <w:ind w:left="426" w:hanging="426"/>
        <w:rPr>
          <w:rFonts w:asciiTheme="minorHAnsi" w:eastAsia="Aptos" w:hAnsiTheme="minorHAnsi" w:cs="Times New Roman"/>
          <w:kern w:val="0"/>
          <w14:ligatures w14:val="none"/>
        </w:rPr>
      </w:pPr>
      <w:r w:rsidRPr="007E08F7">
        <w:rPr>
          <w:rFonts w:asciiTheme="minorHAnsi" w:eastAsia="Aptos" w:hAnsiTheme="minorHAnsi" w:cs="Times New Roman"/>
          <w:b/>
          <w:bCs/>
          <w:kern w:val="0"/>
          <w14:ligatures w14:val="none"/>
        </w:rPr>
        <w:t xml:space="preserve">Rosnąca </w:t>
      </w:r>
      <w:r w:rsidRPr="007E08F7">
        <w:rPr>
          <w:rFonts w:asciiTheme="minorHAnsi" w:eastAsia="Aptos" w:hAnsiTheme="minorHAnsi" w:cs="Times New Roman"/>
          <w:kern w:val="0"/>
          <w14:ligatures w14:val="none"/>
        </w:rPr>
        <w:t xml:space="preserve">(szybciej niż średnio w kraju) </w:t>
      </w:r>
      <w:r w:rsidRPr="007E08F7">
        <w:rPr>
          <w:rFonts w:asciiTheme="minorHAnsi" w:eastAsia="Aptos" w:hAnsiTheme="minorHAnsi" w:cs="Times New Roman"/>
          <w:b/>
          <w:bCs/>
          <w:kern w:val="0"/>
          <w14:ligatures w14:val="none"/>
        </w:rPr>
        <w:t xml:space="preserve">ilość odpadów komunalnych </w:t>
      </w:r>
      <w:r w:rsidRPr="007E08F7">
        <w:rPr>
          <w:rFonts w:asciiTheme="minorHAnsi" w:eastAsia="Aptos" w:hAnsiTheme="minorHAnsi" w:cs="Times New Roman"/>
          <w:kern w:val="0"/>
          <w14:ligatures w14:val="none"/>
        </w:rPr>
        <w:t>na Pomorzu zwiększa presję na środowisko i regionalny system ich zagospodarowania. Wynika to nie tylko z rosnącej konsumpcji, ale w znacznej mierze z dużej presji turystycznej i</w:t>
      </w:r>
      <w:r w:rsidR="00036E37"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usługowej, ponieważ znaczną część odpadów wytwarzają osoby przebywające czasowo w regionie oraz firmy, które je obsługują. W efekcie, przekłada się to na większą niż przeciętnie w kraju ilość wytworzonych odpadów w przeliczeniu na jednego mieszkańca.</w:t>
      </w:r>
    </w:p>
    <w:p w14:paraId="21FA5CA8" w14:textId="77777777" w:rsidR="00E52C92" w:rsidRPr="007E08F7" w:rsidRDefault="00E52C92">
      <w:pPr>
        <w:numPr>
          <w:ilvl w:val="0"/>
          <w:numId w:val="15"/>
        </w:numPr>
        <w:spacing w:before="120" w:after="120" w:line="288" w:lineRule="auto"/>
        <w:ind w:left="426" w:hanging="426"/>
        <w:rPr>
          <w:rFonts w:asciiTheme="minorHAnsi" w:eastAsia="Aptos" w:hAnsiTheme="minorHAnsi" w:cs="Times New Roman"/>
          <w:kern w:val="0"/>
          <w14:ligatures w14:val="none"/>
        </w:rPr>
      </w:pPr>
      <w:r w:rsidRPr="007E08F7">
        <w:rPr>
          <w:rFonts w:asciiTheme="minorHAnsi" w:eastAsia="Aptos" w:hAnsiTheme="minorHAnsi" w:cs="Times New Roman"/>
          <w:b/>
          <w:bCs/>
          <w:kern w:val="0"/>
          <w14:ligatures w14:val="none"/>
        </w:rPr>
        <w:t>Selektywna zbiórka odpadów</w:t>
      </w:r>
      <w:r w:rsidRPr="007E08F7">
        <w:rPr>
          <w:rFonts w:asciiTheme="minorHAnsi" w:eastAsia="Aptos" w:hAnsiTheme="minorHAnsi" w:cs="Times New Roman"/>
          <w:kern w:val="0"/>
          <w14:ligatures w14:val="none"/>
        </w:rPr>
        <w:t xml:space="preserve"> jest w regionie dobrze rozwinięta i obejmuje relatywnie wysoki udział całego strumienia odpadów (prawie 48%), nieznacznie przekraczając średnią krajową. Jednak odpady zmieszane, chociaż ich udział maleje, nadal stanowią jego większość. Ogranicza to możliwość odzysku surowców oraz pełniejszego wykorzystania materiałów w obiegu zamkniętym.</w:t>
      </w:r>
    </w:p>
    <w:p w14:paraId="1CC15AD2" w14:textId="1F7CF4B5" w:rsidR="00E52C92" w:rsidRPr="007E08F7" w:rsidRDefault="00E52C92">
      <w:pPr>
        <w:numPr>
          <w:ilvl w:val="0"/>
          <w:numId w:val="15"/>
        </w:numPr>
        <w:spacing w:before="120" w:after="120" w:line="288" w:lineRule="auto"/>
        <w:ind w:left="426" w:hanging="426"/>
        <w:rPr>
          <w:rFonts w:asciiTheme="minorHAnsi" w:eastAsia="Aptos" w:hAnsiTheme="minorHAnsi" w:cs="Times New Roman"/>
          <w:kern w:val="0"/>
          <w14:ligatures w14:val="none"/>
        </w:rPr>
      </w:pPr>
      <w:r w:rsidRPr="007E08F7">
        <w:rPr>
          <w:rFonts w:asciiTheme="minorHAnsi" w:eastAsia="Aptos" w:hAnsiTheme="minorHAnsi" w:cs="Times New Roman"/>
          <w:kern w:val="0"/>
          <w14:ligatures w14:val="none"/>
        </w:rPr>
        <w:t xml:space="preserve">W przetwarzaniu odpadów komunalnych </w:t>
      </w:r>
      <w:r w:rsidRPr="007E08F7">
        <w:rPr>
          <w:rFonts w:asciiTheme="minorHAnsi" w:eastAsia="Aptos" w:hAnsiTheme="minorHAnsi" w:cs="Times New Roman"/>
          <w:b/>
          <w:bCs/>
          <w:kern w:val="0"/>
          <w14:ligatures w14:val="none"/>
        </w:rPr>
        <w:t>przeważa udział procesów odzysku</w:t>
      </w:r>
      <w:r w:rsidRPr="007E08F7">
        <w:rPr>
          <w:rFonts w:asciiTheme="minorHAnsi" w:eastAsia="Aptos" w:hAnsiTheme="minorHAnsi" w:cs="Times New Roman"/>
          <w:kern w:val="0"/>
          <w14:ligatures w14:val="none"/>
        </w:rPr>
        <w:t>, w</w:t>
      </w:r>
      <w:r w:rsidR="00036E37"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tym recyklingu organicznego i materiałowego oraz przekształcania odpadów z</w:t>
      </w:r>
      <w:r w:rsidR="00036E37"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odzyskiem energii. Jest to korzystna tendencja, wskazująca na stopniowe odchodzenie od zagospodarowania odpadów poprzez ich składowanie. Jednakże w</w:t>
      </w:r>
      <w:r w:rsidR="00036E37"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dalszym ciągu na składowiska odpadów trafiają duże ilości odpadów komunalnych oraz odpadów powstających z ich przetwarzania, co jest zagrożeniem dla realizacji celów środowiskowych z zakresie ograniczania masy składowanych odpadów. Jednocześnie tempo wzrostu recyklingu i ponownego wykorzystania materiałów pozostaje niewystarczające w stosunku do rosnącej ilości wytwarzanych odpadów, w szczególności zmieszanych odpadów komunalnych.</w:t>
      </w:r>
    </w:p>
    <w:p w14:paraId="40C5F033" w14:textId="6B12B695" w:rsidR="00E52C92" w:rsidRPr="007E08F7" w:rsidRDefault="00E52C92">
      <w:pPr>
        <w:numPr>
          <w:ilvl w:val="0"/>
          <w:numId w:val="15"/>
        </w:numPr>
        <w:spacing w:before="120" w:after="120" w:line="288" w:lineRule="auto"/>
        <w:ind w:left="426" w:hanging="426"/>
        <w:rPr>
          <w:rFonts w:asciiTheme="minorHAnsi" w:eastAsia="Aptos" w:hAnsiTheme="minorHAnsi" w:cs="Times New Roman"/>
          <w:kern w:val="0"/>
          <w14:ligatures w14:val="none"/>
        </w:rPr>
      </w:pPr>
      <w:r w:rsidRPr="007E08F7">
        <w:rPr>
          <w:rFonts w:asciiTheme="minorHAnsi" w:eastAsia="Aptos" w:hAnsiTheme="minorHAnsi" w:cs="Times New Roman"/>
          <w:kern w:val="0"/>
          <w14:ligatures w14:val="none"/>
        </w:rPr>
        <w:t xml:space="preserve">Zapewnienie mieszkańcom wszystkich gmin </w:t>
      </w:r>
      <w:r w:rsidRPr="007E08F7">
        <w:rPr>
          <w:rFonts w:asciiTheme="minorHAnsi" w:eastAsia="Aptos" w:hAnsiTheme="minorHAnsi" w:cs="Times New Roman"/>
          <w:b/>
          <w:bCs/>
          <w:kern w:val="0"/>
          <w14:ligatures w14:val="none"/>
        </w:rPr>
        <w:t>dostępu do punktów selektywnego zbierania odpadów komunalnych</w:t>
      </w:r>
      <w:r w:rsidRPr="007E08F7">
        <w:rPr>
          <w:rFonts w:asciiTheme="minorHAnsi" w:eastAsia="Aptos" w:hAnsiTheme="minorHAnsi" w:cs="Times New Roman"/>
          <w:kern w:val="0"/>
          <w14:ligatures w14:val="none"/>
        </w:rPr>
        <w:t xml:space="preserve"> (PSZOK) stanowi ważny element systemu gospodarowania odpadami i ograniczania ich presji na środowisko. Jednocześnie</w:t>
      </w:r>
      <w:r w:rsidR="00E75137" w:rsidRPr="007E08F7">
        <w:rPr>
          <w:rFonts w:asciiTheme="minorHAnsi" w:eastAsia="Aptos" w:hAnsiTheme="minorHAnsi" w:cs="Times New Roman"/>
          <w:kern w:val="0"/>
          <w14:ligatures w14:val="none"/>
        </w:rPr>
        <w:t>,</w:t>
      </w:r>
      <w:r w:rsidRPr="007E08F7">
        <w:rPr>
          <w:rFonts w:asciiTheme="minorHAnsi" w:eastAsia="Aptos" w:hAnsiTheme="minorHAnsi" w:cs="Times New Roman"/>
          <w:kern w:val="0"/>
          <w14:ligatures w14:val="none"/>
        </w:rPr>
        <w:t xml:space="preserve"> w</w:t>
      </w:r>
      <w:r w:rsidR="00036E37"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 xml:space="preserve">regionie sukcesywnie rozwijane są inicjatywy wpisujące się w założenia gospodarki o obiegu zamkniętym (GOZ), ukierunkowane na wydłużenie okresu użytkowania produktów, ich naprawę i ponowne użycie. Należą do nich m.in. punkty napraw i ponownego użycia tworzone przy gminnych PSZOK-ach, giełdy i punkty wymiany rzeczy używanych oraz sklepy charytatywne. </w:t>
      </w:r>
    </w:p>
    <w:p w14:paraId="049C9A11" w14:textId="5CB8EF33" w:rsidR="00E52C92" w:rsidRPr="007E08F7" w:rsidRDefault="00E52C92">
      <w:pPr>
        <w:numPr>
          <w:ilvl w:val="0"/>
          <w:numId w:val="15"/>
        </w:numPr>
        <w:spacing w:before="120" w:after="120" w:line="288" w:lineRule="auto"/>
        <w:ind w:left="426" w:hanging="426"/>
        <w:rPr>
          <w:rFonts w:asciiTheme="minorHAnsi" w:eastAsia="Aptos" w:hAnsiTheme="minorHAnsi" w:cs="Times New Roman"/>
          <w:kern w:val="0"/>
          <w14:ligatures w14:val="none"/>
        </w:rPr>
      </w:pPr>
      <w:r w:rsidRPr="007E08F7">
        <w:rPr>
          <w:rFonts w:asciiTheme="minorHAnsi" w:eastAsia="Aptos" w:hAnsiTheme="minorHAnsi" w:cs="Times New Roman"/>
          <w:kern w:val="0"/>
          <w14:ligatures w14:val="none"/>
        </w:rPr>
        <w:t xml:space="preserve">Pomorskie </w:t>
      </w:r>
      <w:r w:rsidRPr="007E08F7">
        <w:rPr>
          <w:rFonts w:asciiTheme="minorHAnsi" w:eastAsia="Aptos" w:hAnsiTheme="minorHAnsi" w:cs="Times New Roman"/>
          <w:b/>
          <w:bCs/>
          <w:kern w:val="0"/>
          <w14:ligatures w14:val="none"/>
        </w:rPr>
        <w:t>firmy coraz częściej wdrażają GOZ</w:t>
      </w:r>
      <w:r w:rsidRPr="007E08F7">
        <w:rPr>
          <w:rFonts w:asciiTheme="minorHAnsi" w:eastAsia="Aptos" w:hAnsiTheme="minorHAnsi" w:cs="Times New Roman"/>
          <w:kern w:val="0"/>
          <w14:ligatures w14:val="none"/>
        </w:rPr>
        <w:t xml:space="preserve">. Przestaje to już być dla nich jedynie elementem ekologicznego wizerunku, ale staje się koniecznością. Pozwala firmom obniżyć koszty, zabezpieczyć łańcuchy dostaw oraz odpowiedzieć na coraz bardziej </w:t>
      </w:r>
      <w:r w:rsidRPr="007E08F7">
        <w:rPr>
          <w:rFonts w:asciiTheme="minorHAnsi" w:eastAsia="Aptos" w:hAnsiTheme="minorHAnsi" w:cs="Times New Roman"/>
          <w:kern w:val="0"/>
          <w14:ligatures w14:val="none"/>
        </w:rPr>
        <w:lastRenderedPageBreak/>
        <w:t>rygorystyczne normy prawne i wymogi konsumentów. Przykładem może być wykorzystanie odzysku wody szarej, montaż zaawansowanych systemów pomp ciepła i kolektorów słonecznych, rezygnacja z jednorazowego plastiku, wtórny obieg czy przedłużanie życia przedmiotów. Profesjonalne zakłady gospodarki odpadami stają się nowoczesnymi fabrykami, gdyż np. przekształcają odpady biodegradowalne w certyfikowane komposty dla rolnictwa oraz odzyskują biogaz do</w:t>
      </w:r>
      <w:r w:rsidR="00036E37"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produkcji zielonej energii elektrycznej i ciepła dla mieszkańców</w:t>
      </w:r>
      <w:r w:rsidRPr="007E08F7">
        <w:rPr>
          <w:rStyle w:val="Odwoanieprzypisudolnego"/>
          <w:rFonts w:asciiTheme="minorHAnsi" w:eastAsia="Aptos" w:hAnsiTheme="minorHAnsi" w:cs="Times New Roman"/>
          <w:kern w:val="0"/>
          <w14:ligatures w14:val="none"/>
        </w:rPr>
        <w:footnoteReference w:id="16"/>
      </w:r>
      <w:r w:rsidRPr="007E08F7">
        <w:rPr>
          <w:rFonts w:asciiTheme="minorHAnsi" w:eastAsia="Aptos" w:hAnsiTheme="minorHAnsi" w:cs="Times New Roman"/>
          <w:kern w:val="0"/>
          <w14:ligatures w14:val="none"/>
        </w:rPr>
        <w:t>.</w:t>
      </w:r>
    </w:p>
    <w:p w14:paraId="06CF20DF" w14:textId="77777777" w:rsidR="00E52C92" w:rsidRPr="007E08F7" w:rsidRDefault="00E52C92" w:rsidP="00147499">
      <w:pPr>
        <w:pStyle w:val="Nagwek3"/>
        <w:rPr>
          <w:rFonts w:eastAsia="Times New Roman"/>
          <w:lang w:eastAsia="pl-PL"/>
        </w:rPr>
      </w:pPr>
      <w:bookmarkStart w:id="6" w:name="_Toc239772034"/>
      <w:r w:rsidRPr="007E08F7">
        <w:rPr>
          <w:rFonts w:eastAsia="Times New Roman"/>
          <w:lang w:eastAsia="pl-PL"/>
        </w:rPr>
        <w:t>Cyfryzacja gospodarki i społeczeństwa, zagrożenia cyfrowe</w:t>
      </w:r>
      <w:bookmarkEnd w:id="6"/>
    </w:p>
    <w:p w14:paraId="532CC24F" w14:textId="19BA4F6F" w:rsidR="00E52C92" w:rsidRPr="007E08F7" w:rsidRDefault="00E52C92">
      <w:pPr>
        <w:numPr>
          <w:ilvl w:val="0"/>
          <w:numId w:val="8"/>
        </w:numPr>
        <w:spacing w:before="120" w:after="120" w:line="288" w:lineRule="auto"/>
        <w:ind w:left="426" w:hanging="426"/>
        <w:rPr>
          <w:rFonts w:asciiTheme="minorHAnsi" w:eastAsia="Times New Roman" w:hAnsiTheme="minorHAnsi" w:cs="Times New Roman"/>
          <w:kern w:val="0"/>
          <w:lang w:eastAsia="pl-PL"/>
          <w14:ligatures w14:val="none"/>
        </w:rPr>
      </w:pPr>
      <w:r w:rsidRPr="007E08F7">
        <w:rPr>
          <w:rFonts w:asciiTheme="minorHAnsi" w:eastAsia="Times New Roman" w:hAnsiTheme="minorHAnsi" w:cs="Times New Roman"/>
          <w:b/>
          <w:bCs/>
          <w:kern w:val="0"/>
          <w:lang w:eastAsia="pl-PL"/>
          <w14:ligatures w14:val="none"/>
        </w:rPr>
        <w:t>Cyfryzacja stanowi ważną podstawę dalszej transformacji gospodarki</w:t>
      </w:r>
      <w:r w:rsidRPr="007E08F7">
        <w:rPr>
          <w:rFonts w:asciiTheme="minorHAnsi" w:eastAsia="Times New Roman" w:hAnsiTheme="minorHAnsi" w:cs="Times New Roman"/>
          <w:kern w:val="0"/>
          <w:lang w:eastAsia="pl-PL"/>
          <w14:ligatures w14:val="none"/>
        </w:rPr>
        <w:t>, usług publicznych i rynku pracy. Dostęp do Internetu i łączy szerokopasmowych jest w</w:t>
      </w:r>
      <w:r w:rsidR="00150D5F"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regionie powszechny (ok</w:t>
      </w:r>
      <w:r w:rsidR="00BE7D68" w:rsidRPr="007E08F7">
        <w:rPr>
          <w:rFonts w:asciiTheme="minorHAnsi" w:eastAsia="Times New Roman" w:hAnsiTheme="minorHAnsi" w:cs="Times New Roman"/>
          <w:kern w:val="0"/>
          <w:lang w:eastAsia="pl-PL"/>
          <w14:ligatures w14:val="none"/>
        </w:rPr>
        <w:t>.</w:t>
      </w:r>
      <w:r w:rsidRPr="007E08F7">
        <w:rPr>
          <w:rFonts w:asciiTheme="minorHAnsi" w:eastAsia="Times New Roman" w:hAnsiTheme="minorHAnsi" w:cs="Times New Roman"/>
          <w:kern w:val="0"/>
          <w:lang w:eastAsia="pl-PL"/>
          <w14:ligatures w14:val="none"/>
        </w:rPr>
        <w:t xml:space="preserve"> 94% gospodarstw domowych), jednak przepustowość łączy szerokopasmowych nie zawsze </w:t>
      </w:r>
      <w:r w:rsidRPr="007E08F7">
        <w:t>jest wystarczająca w odniesieniu do obecnych wymagań krajowych i europejskich oraz jest zróżnicowana przestrzennie. Widoczne są dysproporcje w zastosowaniu nowszych technologii, w tym szersze wykorzystanie łączy światłowodowych. Różnice te są szczególnie widoczne między miastami i obszarami wiejskimi.</w:t>
      </w:r>
    </w:p>
    <w:p w14:paraId="77272C7C" w14:textId="3FB5CCEE"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Times New Roman" w:hAnsiTheme="minorHAnsi" w:cs="Times New Roman"/>
          <w:kern w:val="0"/>
          <w:lang w:eastAsia="pl-PL"/>
          <w14:ligatures w14:val="none"/>
        </w:rPr>
        <w:t>Mieszkańcy korzystają z Internetu częściej niż w wielu innych województwach, co</w:t>
      </w:r>
      <w:r w:rsidR="00150D5F" w:rsidRPr="007E08F7">
        <w:rPr>
          <w:rFonts w:asciiTheme="minorHAnsi" w:eastAsia="Times New Roman" w:hAnsiTheme="minorHAnsi" w:cs="Times New Roman"/>
          <w:kern w:val="0"/>
          <w:lang w:eastAsia="pl-PL"/>
          <w14:ligatures w14:val="none"/>
        </w:rPr>
        <w:t> </w:t>
      </w:r>
      <w:r w:rsidRPr="007E08F7">
        <w:rPr>
          <w:rFonts w:asciiTheme="minorHAnsi" w:eastAsia="Times New Roman" w:hAnsiTheme="minorHAnsi" w:cs="Times New Roman"/>
          <w:kern w:val="0"/>
          <w:lang w:eastAsia="pl-PL"/>
          <w14:ligatures w14:val="none"/>
        </w:rPr>
        <w:t xml:space="preserve">lokuje region na 5. miejscu w kraju. </w:t>
      </w:r>
      <w:r w:rsidRPr="007E08F7">
        <w:rPr>
          <w:rFonts w:asciiTheme="minorHAnsi" w:eastAsia="Times New Roman" w:hAnsiTheme="minorHAnsi" w:cs="Times New Roman"/>
          <w:b/>
          <w:bCs/>
          <w:kern w:val="0"/>
          <w:lang w:eastAsia="pl-PL"/>
          <w14:ligatures w14:val="none"/>
        </w:rPr>
        <w:t>Wysoki poziom cyfryzacji</w:t>
      </w:r>
      <w:r w:rsidRPr="007E08F7">
        <w:rPr>
          <w:rFonts w:asciiTheme="minorHAnsi" w:eastAsia="Times New Roman" w:hAnsiTheme="minorHAnsi" w:cs="Times New Roman"/>
          <w:kern w:val="0"/>
          <w:lang w:eastAsia="pl-PL"/>
          <w14:ligatures w14:val="none"/>
        </w:rPr>
        <w:t xml:space="preserve"> charakteryzuje także przedsiębiorstwa (ponad 90%), które często wykorzystują stałe łącza szerokopasmowe.</w:t>
      </w:r>
      <w:r w:rsidRPr="007E08F7">
        <w:rPr>
          <w:rFonts w:asciiTheme="minorHAnsi" w:eastAsia="Aptos" w:hAnsiTheme="minorHAnsi" w:cs="Times New Roman"/>
          <w:kern w:val="0"/>
          <w14:ligatures w14:val="none"/>
        </w:rPr>
        <w:t xml:space="preserve"> Z usług chmury obliczeniowej korzysta 59% firm, co wskazuje na</w:t>
      </w:r>
      <w:r w:rsidR="00150D5F"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rosnące znaczenie nowoczesnych technologii cyfrowych w działalności przedsiębiorstw. Mimo to, tylko 10,4% przedsiębiorstw w regionie wykorzystuje technologie sztucznej inteligencji, najczęściej w procesach związanych ze</w:t>
      </w:r>
      <w:r w:rsidR="00150D5F"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wspomaganiem marketingu lub sprzedaży.</w:t>
      </w:r>
    </w:p>
    <w:p w14:paraId="34E27E71" w14:textId="52C12D1B"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Coraz większym problemem, w skali całego kraju, stają się </w:t>
      </w:r>
      <w:r w:rsidRPr="007E08F7">
        <w:rPr>
          <w:rFonts w:asciiTheme="minorHAnsi" w:eastAsia="Aptos" w:hAnsiTheme="minorHAnsi"/>
          <w:b/>
          <w:bCs/>
          <w:kern w:val="0"/>
          <w14:ligatures w14:val="none"/>
        </w:rPr>
        <w:t xml:space="preserve">dezinformacja oraz rosnąca skala </w:t>
      </w:r>
      <w:proofErr w:type="spellStart"/>
      <w:r w:rsidRPr="007E08F7">
        <w:rPr>
          <w:rFonts w:asciiTheme="minorHAnsi" w:eastAsia="Aptos" w:hAnsiTheme="minorHAnsi"/>
          <w:b/>
          <w:bCs/>
          <w:kern w:val="0"/>
          <w14:ligatures w14:val="none"/>
        </w:rPr>
        <w:t>cyberzagrożeń</w:t>
      </w:r>
      <w:proofErr w:type="spellEnd"/>
      <w:r w:rsidRPr="007E08F7">
        <w:rPr>
          <w:rFonts w:asciiTheme="minorHAnsi" w:eastAsia="Aptos" w:hAnsiTheme="minorHAnsi"/>
          <w:kern w:val="0"/>
          <w14:ligatures w14:val="none"/>
        </w:rPr>
        <w:t>. Dynamiczny rozwój technologii cyfrowych sprzyja rozpowszechnianiu fałszywych informacji, manipulacji oraz atak</w:t>
      </w:r>
      <w:r w:rsidR="00BE7D68" w:rsidRPr="007E08F7">
        <w:rPr>
          <w:rFonts w:asciiTheme="minorHAnsi" w:eastAsia="Aptos" w:hAnsiTheme="minorHAnsi"/>
          <w:kern w:val="0"/>
          <w14:ligatures w14:val="none"/>
        </w:rPr>
        <w:t>om</w:t>
      </w:r>
      <w:r w:rsidRPr="007E08F7">
        <w:rPr>
          <w:rFonts w:asciiTheme="minorHAnsi" w:eastAsia="Aptos" w:hAnsiTheme="minorHAnsi"/>
          <w:kern w:val="0"/>
          <w14:ligatures w14:val="none"/>
        </w:rPr>
        <w:t xml:space="preserve"> na systemy informatyczne instytucji publicznych i infrastruktury krytycznej. Zjawiska te wpływają negatywnie na poziom zaufania społecznego, stabilność informacyjną oraz bezpieczeństwo państwa. Dla Pomorza, jako regionu z dużym obszarem metropolitalnym, portami, krytyczną infrastrukturą energetyczną i transportową oraz rozbudowaną siecią usług publicznych, </w:t>
      </w:r>
      <w:proofErr w:type="spellStart"/>
      <w:r w:rsidRPr="007E08F7">
        <w:rPr>
          <w:rFonts w:asciiTheme="minorHAnsi" w:eastAsia="Aptos" w:hAnsiTheme="minorHAnsi"/>
          <w:kern w:val="0"/>
          <w14:ligatures w14:val="none"/>
        </w:rPr>
        <w:t>cyberbezpieczeństwo</w:t>
      </w:r>
      <w:proofErr w:type="spellEnd"/>
      <w:r w:rsidRPr="007E08F7">
        <w:rPr>
          <w:rFonts w:asciiTheme="minorHAnsi" w:eastAsia="Aptos" w:hAnsiTheme="minorHAnsi"/>
          <w:kern w:val="0"/>
          <w14:ligatures w14:val="none"/>
        </w:rPr>
        <w:t xml:space="preserve"> jest warunkiem odporności instytucjonalnej i gospodarczej.</w:t>
      </w:r>
    </w:p>
    <w:p w14:paraId="70199661" w14:textId="77777777" w:rsidR="00E52C92" w:rsidRPr="007E08F7" w:rsidRDefault="00E52C92">
      <w:pPr>
        <w:keepNext/>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lastRenderedPageBreak/>
        <w:t xml:space="preserve">W celu ograniczenia ryzyka związanego z zagrożeniami cyfrowymi pomorskie firmy (nieco ponad 92% przedsiębiorstw, średnio w Polsce – 93,1%) i instytucje sektora publicznego przeprowadzają modernizację systemów informatycznych, wdrażają procedury bezpieczeństwa oraz audyty IT, jak również rozwijają kompetencje cyfrowe pracowników. Podnosi to poziom </w:t>
      </w:r>
      <w:proofErr w:type="spellStart"/>
      <w:r w:rsidRPr="007E08F7">
        <w:rPr>
          <w:rFonts w:asciiTheme="minorHAnsi" w:eastAsia="Aptos" w:hAnsiTheme="minorHAnsi"/>
          <w:kern w:val="0"/>
          <w14:ligatures w14:val="none"/>
        </w:rPr>
        <w:t>cyberbezpieczeństwa</w:t>
      </w:r>
      <w:proofErr w:type="spellEnd"/>
      <w:r w:rsidRPr="007E08F7">
        <w:rPr>
          <w:rFonts w:asciiTheme="minorHAnsi" w:eastAsia="Aptos" w:hAnsiTheme="minorHAnsi"/>
          <w:kern w:val="0"/>
          <w14:ligatures w14:val="none"/>
        </w:rPr>
        <w:t>, ochrony infrastruktury teleinformatycznej i ochrony danych, a w rezultacie także ochrony ludności i zapewnienia ciągłości funkcjonowania systemu obrony cywilnej.</w:t>
      </w:r>
    </w:p>
    <w:p w14:paraId="20AB0592" w14:textId="566E3009" w:rsidR="00E52C92" w:rsidRPr="007E08F7" w:rsidRDefault="00E52C92">
      <w:pPr>
        <w:keepNext/>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Powszechny dostęp do Internetu niesie jednak ze sobą pewne zagrożenia. Może mieć negatywny wpływ na zdrowie mieszkańców oraz pogorszenie relacji społecznych. Najbardziej widoczne jest to wśród dzieci</w:t>
      </w:r>
      <w:r w:rsidR="00E75137" w:rsidRPr="007E08F7">
        <w:rPr>
          <w:rFonts w:asciiTheme="minorHAnsi" w:eastAsia="Aptos" w:hAnsiTheme="minorHAnsi"/>
          <w:kern w:val="0"/>
          <w14:ligatures w14:val="none"/>
        </w:rPr>
        <w:t xml:space="preserve"> i młodzieży</w:t>
      </w:r>
      <w:r w:rsidRPr="007E08F7">
        <w:rPr>
          <w:rFonts w:asciiTheme="minorHAnsi" w:eastAsia="Aptos" w:hAnsiTheme="minorHAnsi"/>
          <w:kern w:val="0"/>
          <w14:ligatures w14:val="none"/>
        </w:rPr>
        <w:t>. Częste korzystanie z mediów społecznościowych i złudna anonimowość w sieci prowadzi do zaburzeń psychicznych i złej kondycji zdrowotnej.</w:t>
      </w:r>
    </w:p>
    <w:p w14:paraId="5C016F1B" w14:textId="77777777" w:rsidR="00E52C92" w:rsidRPr="007E08F7" w:rsidRDefault="00E52C92" w:rsidP="00147499">
      <w:pPr>
        <w:pStyle w:val="Nagwek3"/>
        <w:rPr>
          <w:rFonts w:eastAsia="Times New Roman"/>
          <w:lang w:eastAsia="pl-PL"/>
        </w:rPr>
      </w:pPr>
      <w:bookmarkStart w:id="7" w:name="_Toc239772035"/>
      <w:r w:rsidRPr="007E08F7">
        <w:rPr>
          <w:rFonts w:eastAsia="Times New Roman"/>
          <w:lang w:eastAsia="pl-PL"/>
        </w:rPr>
        <w:t>Kompetencje i rozwój talentów</w:t>
      </w:r>
      <w:bookmarkEnd w:id="7"/>
    </w:p>
    <w:p w14:paraId="3E103A12" w14:textId="77777777"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W województwie pomorskim w ostatnich latach zrealizowano szereg inicjatyw wspierających rozwój kompetencji uczniów. Mimo to, istnieje potrzeba dalszego rozwoju kompetencji kluczowych, w szczególności przekrojowych, w tym myślenia krytycznego, rozwiązywania problemów, sprawnej komunikacji, kompetencji cyfrowych, uwzględniających rozwój sztucznej inteligencji oraz społecznych. Warunkuje to powodzenie na kolejnych etapach kształcenia i determinuje </w:t>
      </w:r>
      <w:r w:rsidRPr="007E08F7">
        <w:rPr>
          <w:rFonts w:asciiTheme="minorHAnsi" w:hAnsiTheme="minorHAnsi"/>
          <w:b/>
          <w:kern w:val="0"/>
          <w14:ligatures w14:val="none"/>
        </w:rPr>
        <w:t>zdolność przyszłych kadr do adaptacji</w:t>
      </w:r>
      <w:r w:rsidRPr="007E08F7">
        <w:rPr>
          <w:rFonts w:asciiTheme="minorHAnsi" w:eastAsia="Aptos" w:hAnsiTheme="minorHAnsi"/>
          <w:kern w:val="0"/>
          <w14:ligatures w14:val="none"/>
        </w:rPr>
        <w:t xml:space="preserve"> na zmiennym rynku pracy.</w:t>
      </w:r>
    </w:p>
    <w:p w14:paraId="0F90A786" w14:textId="0289C307"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Istotnym problemem systemu oświaty jest narastający </w:t>
      </w:r>
      <w:r w:rsidRPr="007E08F7">
        <w:rPr>
          <w:rFonts w:asciiTheme="minorHAnsi" w:eastAsia="Aptos" w:hAnsiTheme="minorHAnsi"/>
          <w:b/>
          <w:bCs/>
          <w:kern w:val="0"/>
          <w14:ligatures w14:val="none"/>
        </w:rPr>
        <w:t>deficyt kadr</w:t>
      </w:r>
      <w:r w:rsidRPr="007E08F7">
        <w:rPr>
          <w:rFonts w:asciiTheme="minorHAnsi" w:eastAsia="Aptos" w:hAnsiTheme="minorHAnsi"/>
          <w:kern w:val="0"/>
          <w14:ligatures w14:val="none"/>
        </w:rPr>
        <w:t>, wynikający ze</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starzenia się tej grupy zawodowej i niskiej atrakcyjności zawodu. Pogłębia się w</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 xml:space="preserve">szczególności deficyt specjalistycznych kadr w szkolnictwie zawodowym. Jednocześnie dynamicznie zachodzące zmiany społeczne i technologiczne wpływają na </w:t>
      </w:r>
      <w:r w:rsidRPr="007E08F7">
        <w:rPr>
          <w:rFonts w:asciiTheme="minorHAnsi" w:eastAsia="Aptos" w:hAnsiTheme="minorHAnsi"/>
          <w:b/>
          <w:bCs/>
          <w:kern w:val="0"/>
          <w14:ligatures w14:val="none"/>
        </w:rPr>
        <w:t>deficyt kompetencyjny kadr oświaty</w:t>
      </w:r>
      <w:r w:rsidRPr="007E08F7">
        <w:rPr>
          <w:rFonts w:asciiTheme="minorHAnsi" w:eastAsia="Aptos" w:hAnsiTheme="minorHAnsi"/>
          <w:kern w:val="0"/>
          <w14:ligatures w14:val="none"/>
        </w:rPr>
        <w:t>, w szczególności w obszarze cyfryzacji, komunikacji międzykulturowej, specjalnych potrzeb edukacyjnych i</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 xml:space="preserve">personalizacji nauczania. </w:t>
      </w:r>
    </w:p>
    <w:p w14:paraId="3B777122" w14:textId="28F574C5"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W regionie od lat rozwijany jest </w:t>
      </w:r>
      <w:r w:rsidRPr="007E08F7">
        <w:rPr>
          <w:rFonts w:asciiTheme="minorHAnsi" w:eastAsia="Aptos" w:hAnsiTheme="minorHAnsi"/>
          <w:b/>
          <w:bCs/>
          <w:kern w:val="0"/>
          <w14:ligatures w14:val="none"/>
        </w:rPr>
        <w:t>system wspierania talentów uczniów</w:t>
      </w:r>
      <w:r w:rsidRPr="007E08F7">
        <w:rPr>
          <w:rFonts w:asciiTheme="minorHAnsi" w:eastAsia="Aptos" w:hAnsiTheme="minorHAnsi"/>
          <w:kern w:val="0"/>
          <w14:ligatures w14:val="none"/>
        </w:rPr>
        <w:t>, a jego wyróżnikiem jest znaczące zaangażowanie szkół wyższych. Potencjał uczniów szczególnie uzdolnionych, z uwagi na wciąż niewystarczające powiązanie ze</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 xml:space="preserve">środowiskiem B+R i gospodarką, nie jest w pełni wykorzystywany, co często prowadzi do odpływu talentów z regionu. </w:t>
      </w:r>
    </w:p>
    <w:p w14:paraId="703BFAB1" w14:textId="25A43513" w:rsidR="00E52C92" w:rsidRPr="007E08F7" w:rsidRDefault="00E52C92">
      <w:pPr>
        <w:numPr>
          <w:ilvl w:val="0"/>
          <w:numId w:val="8"/>
        </w:numPr>
        <w:spacing w:before="120" w:after="120" w:line="288" w:lineRule="auto"/>
        <w:ind w:left="426" w:hanging="426"/>
        <w:rPr>
          <w:rFonts w:asciiTheme="minorHAnsi" w:eastAsia="Aptos" w:hAnsiTheme="minorHAnsi"/>
          <w:kern w:val="0"/>
          <w14:ligatures w14:val="none"/>
        </w:rPr>
      </w:pPr>
      <w:r w:rsidRPr="007E08F7">
        <w:rPr>
          <w:rFonts w:asciiTheme="minorHAnsi" w:eastAsia="Aptos" w:hAnsiTheme="minorHAnsi"/>
          <w:kern w:val="0"/>
          <w14:ligatures w14:val="none"/>
        </w:rPr>
        <w:t xml:space="preserve">Pomorskie postawiło na </w:t>
      </w:r>
      <w:r w:rsidRPr="007E08F7">
        <w:rPr>
          <w:rFonts w:asciiTheme="minorHAnsi" w:eastAsia="Aptos" w:hAnsiTheme="minorHAnsi"/>
          <w:b/>
          <w:bCs/>
          <w:kern w:val="0"/>
          <w14:ligatures w14:val="none"/>
        </w:rPr>
        <w:t>wzmocnienie potencjału szkolnictwa zawodowego</w:t>
      </w:r>
      <w:r w:rsidRPr="007E08F7">
        <w:rPr>
          <w:rFonts w:asciiTheme="minorHAnsi" w:eastAsia="Aptos" w:hAnsiTheme="minorHAnsi"/>
          <w:kern w:val="0"/>
          <w14:ligatures w14:val="none"/>
        </w:rPr>
        <w:t>, w</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wyniku czego powstaje sprofilowana oferta szkół branżowych oraz techników, które przygotowując niezbędne kadry, odpowiadają na realne zapotrzebowanie kluczowych sektorów gospodarki. Jednocześnie</w:t>
      </w:r>
      <w:r w:rsidR="00E75137" w:rsidRPr="007E08F7">
        <w:rPr>
          <w:rFonts w:asciiTheme="minorHAnsi" w:eastAsia="Aptos" w:hAnsiTheme="minorHAnsi"/>
          <w:kern w:val="0"/>
          <w14:ligatures w14:val="none"/>
        </w:rPr>
        <w:t>,</w:t>
      </w:r>
      <w:r w:rsidRPr="007E08F7">
        <w:rPr>
          <w:rFonts w:asciiTheme="minorHAnsi" w:eastAsia="Aptos" w:hAnsiTheme="minorHAnsi"/>
          <w:kern w:val="0"/>
          <w14:ligatures w14:val="none"/>
        </w:rPr>
        <w:t xml:space="preserve"> dynamicznie zachodzące zmiany strukturalne i technologiczne w gospodarce regionalnej, w tym związane </w:t>
      </w:r>
      <w:r w:rsidRPr="007E08F7">
        <w:rPr>
          <w:rFonts w:asciiTheme="minorHAnsi" w:eastAsia="Aptos" w:hAnsiTheme="minorHAnsi"/>
          <w:kern w:val="0"/>
          <w14:ligatures w14:val="none"/>
        </w:rPr>
        <w:lastRenderedPageBreak/>
        <w:t>z</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 xml:space="preserve">transformacją energetyczną, cyfryzacją oraz automatyzacją procesów produkcyjnych, stawiają przed pomorskimi szkołami zawodowymi nowe </w:t>
      </w:r>
      <w:r w:rsidR="00BE7D68" w:rsidRPr="007E08F7">
        <w:rPr>
          <w:rFonts w:asciiTheme="minorHAnsi" w:eastAsia="Aptos" w:hAnsiTheme="minorHAnsi"/>
          <w:kern w:val="0"/>
          <w14:ligatures w14:val="none"/>
        </w:rPr>
        <w:t>wyzwania</w:t>
      </w:r>
      <w:r w:rsidRPr="007E08F7">
        <w:rPr>
          <w:rFonts w:asciiTheme="minorHAnsi" w:eastAsia="Aptos" w:hAnsiTheme="minorHAnsi"/>
          <w:kern w:val="0"/>
          <w14:ligatures w14:val="none"/>
        </w:rPr>
        <w:t>.</w:t>
      </w:r>
    </w:p>
    <w:p w14:paraId="480D543B" w14:textId="1CA38074" w:rsidR="00E52C92" w:rsidRPr="007E08F7" w:rsidRDefault="00E52C92">
      <w:pPr>
        <w:numPr>
          <w:ilvl w:val="0"/>
          <w:numId w:val="8"/>
        </w:numPr>
        <w:spacing w:before="120" w:after="120" w:line="288" w:lineRule="auto"/>
        <w:ind w:left="425" w:hanging="425"/>
        <w:rPr>
          <w:rFonts w:asciiTheme="minorHAnsi" w:eastAsia="Aptos" w:hAnsiTheme="minorHAnsi" w:cs="Aptos"/>
          <w:kern w:val="0"/>
          <w14:ligatures w14:val="none"/>
        </w:rPr>
      </w:pPr>
      <w:r w:rsidRPr="007E08F7">
        <w:rPr>
          <w:rFonts w:asciiTheme="minorHAnsi" w:eastAsia="Aptos" w:hAnsiTheme="minorHAnsi" w:cs="Aptos"/>
          <w:kern w:val="0"/>
          <w14:ligatures w14:val="none"/>
        </w:rPr>
        <w:t xml:space="preserve">Najnowsze dane </w:t>
      </w:r>
      <w:r w:rsidR="00775DA1" w:rsidRPr="007E08F7">
        <w:rPr>
          <w:rFonts w:asciiTheme="minorHAnsi" w:eastAsia="Aptos" w:hAnsiTheme="minorHAnsi" w:cs="Aptos"/>
          <w:kern w:val="0"/>
          <w14:ligatures w14:val="none"/>
        </w:rPr>
        <w:t>wskazują</w:t>
      </w:r>
      <w:r w:rsidRPr="007E08F7">
        <w:rPr>
          <w:rFonts w:asciiTheme="minorHAnsi" w:eastAsia="Aptos" w:hAnsiTheme="minorHAnsi" w:cs="Aptos"/>
          <w:kern w:val="0"/>
          <w14:ligatures w14:val="none"/>
        </w:rPr>
        <w:t xml:space="preserve"> na wyraźny </w:t>
      </w:r>
      <w:r w:rsidRPr="007E08F7">
        <w:rPr>
          <w:rFonts w:asciiTheme="minorHAnsi" w:eastAsia="Aptos" w:hAnsiTheme="minorHAnsi" w:cs="Aptos"/>
          <w:b/>
          <w:bCs/>
          <w:kern w:val="0"/>
          <w14:ligatures w14:val="none"/>
        </w:rPr>
        <w:t>spadek uczestnictwa w kształceniu ustawicznym</w:t>
      </w:r>
      <w:r w:rsidRPr="007E08F7">
        <w:rPr>
          <w:rFonts w:asciiTheme="minorHAnsi" w:eastAsia="Aptos" w:hAnsiTheme="minorHAnsi" w:cs="Aptos"/>
          <w:kern w:val="0"/>
          <w14:ligatures w14:val="none"/>
        </w:rPr>
        <w:t>, mimo, że odsetek osób w wieku 25-64 lata uczestniczących w</w:t>
      </w:r>
      <w:r w:rsidR="00150D5F" w:rsidRPr="007E08F7">
        <w:rPr>
          <w:rFonts w:asciiTheme="minorHAnsi" w:eastAsia="Aptos" w:hAnsiTheme="minorHAnsi" w:cs="Aptos"/>
          <w:kern w:val="0"/>
          <w14:ligatures w14:val="none"/>
        </w:rPr>
        <w:t> </w:t>
      </w:r>
      <w:r w:rsidRPr="007E08F7">
        <w:rPr>
          <w:rFonts w:asciiTheme="minorHAnsi" w:eastAsia="Aptos" w:hAnsiTheme="minorHAnsi" w:cs="Aptos"/>
          <w:kern w:val="0"/>
          <w14:ligatures w14:val="none"/>
        </w:rPr>
        <w:t xml:space="preserve">kształceniu lub szkoleniu nadal przekracza średnią krajową (9,1% wobec 8,8%). </w:t>
      </w:r>
      <w:r w:rsidR="00E75137" w:rsidRPr="007E08F7">
        <w:rPr>
          <w:rFonts w:asciiTheme="minorHAnsi" w:eastAsia="Aptos" w:hAnsiTheme="minorHAnsi" w:cs="Aptos"/>
          <w:kern w:val="0"/>
          <w14:ligatures w14:val="none"/>
        </w:rPr>
        <w:t>M</w:t>
      </w:r>
      <w:r w:rsidRPr="007E08F7">
        <w:rPr>
          <w:rFonts w:asciiTheme="minorHAnsi" w:eastAsia="Aptos" w:hAnsiTheme="minorHAnsi" w:cs="Aptos"/>
          <w:kern w:val="0"/>
          <w14:ligatures w14:val="none"/>
        </w:rPr>
        <w:t xml:space="preserve">alejąca aktywność edukacyjna zderza się z dynamiczną zmiennością gospodarki oraz ewolucją trendów rynkowych. W efekcie </w:t>
      </w:r>
      <w:r w:rsidRPr="007E08F7">
        <w:rPr>
          <w:rFonts w:asciiTheme="minorHAnsi" w:eastAsia="Aptos" w:hAnsiTheme="minorHAnsi" w:cs="Aptos"/>
          <w:b/>
          <w:bCs/>
          <w:kern w:val="0"/>
          <w14:ligatures w14:val="none"/>
        </w:rPr>
        <w:t>pogłębiają się luki kompetencyjne</w:t>
      </w:r>
      <w:r w:rsidRPr="007E08F7">
        <w:rPr>
          <w:rFonts w:asciiTheme="minorHAnsi" w:eastAsia="Aptos" w:hAnsiTheme="minorHAnsi" w:cs="Aptos"/>
          <w:kern w:val="0"/>
          <w14:ligatures w14:val="none"/>
        </w:rPr>
        <w:t>, zgłaszane przez pracodawców, tj. niedopasowanie kompetencji pracowników do</w:t>
      </w:r>
      <w:r w:rsidR="00150D5F" w:rsidRPr="007E08F7">
        <w:rPr>
          <w:rFonts w:asciiTheme="minorHAnsi" w:eastAsia="Aptos" w:hAnsiTheme="minorHAnsi" w:cs="Aptos"/>
          <w:kern w:val="0"/>
          <w14:ligatures w14:val="none"/>
        </w:rPr>
        <w:t> </w:t>
      </w:r>
      <w:r w:rsidRPr="007E08F7">
        <w:rPr>
          <w:rFonts w:asciiTheme="minorHAnsi" w:eastAsia="Aptos" w:hAnsiTheme="minorHAnsi" w:cs="Aptos"/>
          <w:kern w:val="0"/>
          <w14:ligatures w14:val="none"/>
        </w:rPr>
        <w:t>zmieniających się potrzeb rynku pracy. Najczęściej wskazują oni braki w</w:t>
      </w:r>
      <w:r w:rsidR="00150D5F" w:rsidRPr="007E08F7">
        <w:rPr>
          <w:rFonts w:asciiTheme="minorHAnsi" w:eastAsia="Aptos" w:hAnsiTheme="minorHAnsi" w:cs="Aptos"/>
          <w:kern w:val="0"/>
          <w14:ligatures w14:val="none"/>
        </w:rPr>
        <w:t> </w:t>
      </w:r>
      <w:r w:rsidRPr="007E08F7">
        <w:rPr>
          <w:rFonts w:asciiTheme="minorHAnsi" w:eastAsia="Aptos" w:hAnsiTheme="minorHAnsi" w:cs="Aptos"/>
          <w:kern w:val="0"/>
          <w14:ligatures w14:val="none"/>
        </w:rPr>
        <w:t>kompetencjach praktycznych, transferowalnych i miękkich, takich jak: samodzielność, współpraca, uczenie się w działaniu czy elastyczne reagowanie na</w:t>
      </w:r>
      <w:r w:rsidR="00150D5F" w:rsidRPr="007E08F7">
        <w:rPr>
          <w:rFonts w:asciiTheme="minorHAnsi" w:eastAsia="Aptos" w:hAnsiTheme="minorHAnsi" w:cs="Aptos"/>
          <w:kern w:val="0"/>
          <w14:ligatures w14:val="none"/>
        </w:rPr>
        <w:t> </w:t>
      </w:r>
      <w:r w:rsidRPr="007E08F7">
        <w:rPr>
          <w:rFonts w:asciiTheme="minorHAnsi" w:eastAsia="Aptos" w:hAnsiTheme="minorHAnsi" w:cs="Aptos"/>
          <w:kern w:val="0"/>
          <w14:ligatures w14:val="none"/>
        </w:rPr>
        <w:t>zmiany</w:t>
      </w:r>
      <w:r w:rsidRPr="007E08F7">
        <w:rPr>
          <w:rStyle w:val="Odwoanieprzypisudolnego"/>
          <w:rFonts w:asciiTheme="minorHAnsi" w:eastAsia="Aptos" w:hAnsiTheme="minorHAnsi" w:cs="Aptos"/>
          <w:kern w:val="0"/>
          <w14:ligatures w14:val="none"/>
        </w:rPr>
        <w:footnoteReference w:id="17"/>
      </w:r>
      <w:r w:rsidRPr="007E08F7">
        <w:rPr>
          <w:rFonts w:asciiTheme="minorHAnsi" w:eastAsia="Aptos" w:hAnsiTheme="minorHAnsi" w:cs="Aptos"/>
          <w:kern w:val="0"/>
          <w14:ligatures w14:val="none"/>
        </w:rPr>
        <w:t>.</w:t>
      </w:r>
    </w:p>
    <w:p w14:paraId="4265460F" w14:textId="3DC4D6EA" w:rsidR="00E52C92" w:rsidRPr="007E08F7" w:rsidRDefault="00E52C92">
      <w:pPr>
        <w:numPr>
          <w:ilvl w:val="0"/>
          <w:numId w:val="8"/>
        </w:numPr>
        <w:tabs>
          <w:tab w:val="left" w:pos="3969"/>
        </w:tabs>
        <w:spacing w:before="120" w:after="120" w:line="288" w:lineRule="auto"/>
        <w:ind w:left="426" w:hanging="426"/>
        <w:rPr>
          <w:rFonts w:asciiTheme="minorHAnsi" w:eastAsia="Aptos" w:hAnsiTheme="minorHAnsi" w:cs="Aptos"/>
          <w:kern w:val="0"/>
          <w14:ligatures w14:val="none"/>
        </w:rPr>
      </w:pPr>
      <w:r w:rsidRPr="007E08F7">
        <w:rPr>
          <w:rFonts w:asciiTheme="minorHAnsi" w:eastAsia="Aptos" w:hAnsiTheme="minorHAnsi" w:cs="Aptos"/>
          <w:kern w:val="0"/>
          <w14:ligatures w14:val="none"/>
        </w:rPr>
        <w:t xml:space="preserve">Region charakteryzuje się </w:t>
      </w:r>
      <w:r w:rsidRPr="007E08F7">
        <w:rPr>
          <w:rFonts w:asciiTheme="minorHAnsi" w:eastAsia="Aptos" w:hAnsiTheme="minorHAnsi" w:cs="Aptos"/>
          <w:b/>
          <w:bCs/>
          <w:kern w:val="0"/>
          <w14:ligatures w14:val="none"/>
        </w:rPr>
        <w:t>wysokim</w:t>
      </w:r>
      <w:r w:rsidRPr="007E08F7">
        <w:rPr>
          <w:rFonts w:asciiTheme="minorHAnsi" w:eastAsia="Aptos" w:hAnsiTheme="minorHAnsi" w:cs="Aptos"/>
          <w:kern w:val="0"/>
          <w14:ligatures w14:val="none"/>
        </w:rPr>
        <w:t xml:space="preserve"> </w:t>
      </w:r>
      <w:r w:rsidRPr="007E08F7">
        <w:rPr>
          <w:rFonts w:asciiTheme="minorHAnsi" w:eastAsia="Aptos" w:hAnsiTheme="minorHAnsi" w:cs="Times New Roman"/>
          <w:kern w:val="0"/>
          <w14:ligatures w14:val="none"/>
        </w:rPr>
        <w:t xml:space="preserve">w skali kraju i UE </w:t>
      </w:r>
      <w:r w:rsidRPr="007E08F7">
        <w:rPr>
          <w:rFonts w:asciiTheme="minorHAnsi" w:eastAsia="Aptos" w:hAnsiTheme="minorHAnsi" w:cs="Times New Roman"/>
          <w:b/>
          <w:bCs/>
          <w:kern w:val="0"/>
          <w14:ligatures w14:val="none"/>
        </w:rPr>
        <w:t>poziomem zatrudnienia w</w:t>
      </w:r>
      <w:r w:rsidR="00150D5F" w:rsidRPr="007E08F7">
        <w:rPr>
          <w:rFonts w:asciiTheme="minorHAnsi" w:eastAsia="Aptos" w:hAnsiTheme="minorHAnsi" w:cs="Times New Roman"/>
          <w:b/>
          <w:bCs/>
          <w:kern w:val="0"/>
          <w14:ligatures w14:val="none"/>
        </w:rPr>
        <w:t> </w:t>
      </w:r>
      <w:r w:rsidRPr="007E08F7">
        <w:rPr>
          <w:rFonts w:asciiTheme="minorHAnsi" w:eastAsia="Aptos" w:hAnsiTheme="minorHAnsi" w:cs="Times New Roman"/>
          <w:b/>
          <w:bCs/>
          <w:kern w:val="0"/>
          <w14:ligatures w14:val="none"/>
        </w:rPr>
        <w:t>nauce i technologiach</w:t>
      </w:r>
      <w:r w:rsidRPr="007E08F7">
        <w:rPr>
          <w:rFonts w:asciiTheme="minorHAnsi" w:eastAsia="Aptos" w:hAnsiTheme="minorHAnsi" w:cs="Times New Roman"/>
          <w:kern w:val="0"/>
          <w14:ligatures w14:val="none"/>
        </w:rPr>
        <w:t>. Jego potencjał buduje silne zaplecze akademickie, instytucje otoczenia biznesu, parki naukowo-technologiczne oraz wyspecjalizowane usługi rynkowe. Pomorskie zajmuje 4. miejsce w Polsce pod względem liczby studentów na 10 tys. ludności w wieku 19-24 lata, przewyższając pod tym względem średnią w kraju. O wysokiej jakości kształcenia oraz potencjale naukowo-badawczym regionu świadczą wysokie pozycje pomorskich uczelni w</w:t>
      </w:r>
      <w:r w:rsidR="00150D5F"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krajowych rankingach akademickich – w Rankingu Szkół Wyższych Perspektywy 2026 Politechnika Gdańska zajęła 5. miejsce, a Uniwersytet Gdański uplasował się na 10. pozycji</w:t>
      </w:r>
      <w:r w:rsidRPr="007E08F7">
        <w:rPr>
          <w:rStyle w:val="Odwoanieprzypisudolnego"/>
          <w:rFonts w:asciiTheme="minorHAnsi" w:eastAsia="Aptos" w:hAnsiTheme="minorHAnsi" w:cs="Times New Roman"/>
          <w:kern w:val="0"/>
          <w14:ligatures w14:val="none"/>
        </w:rPr>
        <w:footnoteReference w:id="18"/>
      </w:r>
      <w:r w:rsidRPr="007E08F7">
        <w:rPr>
          <w:rFonts w:asciiTheme="minorHAnsi" w:eastAsia="Aptos" w:hAnsiTheme="minorHAnsi" w:cs="Times New Roman"/>
          <w:kern w:val="0"/>
          <w14:ligatures w14:val="none"/>
        </w:rPr>
        <w:t>.</w:t>
      </w:r>
    </w:p>
    <w:p w14:paraId="423D7322" w14:textId="0DEA5AB3" w:rsidR="00E52C92" w:rsidRPr="007E08F7" w:rsidRDefault="00E52C92">
      <w:pPr>
        <w:numPr>
          <w:ilvl w:val="0"/>
          <w:numId w:val="8"/>
        </w:numPr>
        <w:tabs>
          <w:tab w:val="left" w:pos="3969"/>
        </w:tabs>
        <w:spacing w:before="120" w:after="120" w:line="288" w:lineRule="auto"/>
        <w:ind w:left="426" w:hanging="426"/>
        <w:rPr>
          <w:rFonts w:asciiTheme="minorHAnsi" w:eastAsia="Aptos" w:hAnsiTheme="minorHAnsi" w:cs="Aptos"/>
          <w:kern w:val="0"/>
          <w14:ligatures w14:val="none"/>
        </w:rPr>
      </w:pPr>
      <w:r w:rsidRPr="007E08F7">
        <w:rPr>
          <w:rFonts w:asciiTheme="minorHAnsi" w:eastAsia="Aptos" w:hAnsiTheme="minorHAnsi" w:cs="Aptos"/>
          <w:bCs/>
          <w:kern w:val="0"/>
          <w14:ligatures w14:val="none"/>
        </w:rPr>
        <w:t xml:space="preserve">Ważnym elementem wpływającym na podaż kadr dla gospodarki jest stale </w:t>
      </w:r>
      <w:r w:rsidRPr="007E08F7">
        <w:rPr>
          <w:rFonts w:asciiTheme="minorHAnsi" w:eastAsia="Aptos" w:hAnsiTheme="minorHAnsi" w:cs="Aptos"/>
          <w:b/>
          <w:kern w:val="0"/>
          <w14:ligatures w14:val="none"/>
        </w:rPr>
        <w:t>rosnąca liczba podmiotów ekonomii społecznej</w:t>
      </w:r>
      <w:r w:rsidRPr="007E08F7">
        <w:rPr>
          <w:rFonts w:asciiTheme="minorHAnsi" w:eastAsia="Aptos" w:hAnsiTheme="minorHAnsi" w:cs="Aptos"/>
          <w:bCs/>
          <w:kern w:val="0"/>
          <w14:ligatures w14:val="none"/>
        </w:rPr>
        <w:t>. Poza wzmacnianiem zasobów lokalnych rynków pracy, reintegracja społeczno-zawodowa osób zagrożon</w:t>
      </w:r>
      <w:r w:rsidR="00EB7F91" w:rsidRPr="007E08F7">
        <w:rPr>
          <w:rFonts w:asciiTheme="minorHAnsi" w:eastAsia="Aptos" w:hAnsiTheme="minorHAnsi" w:cs="Aptos"/>
          <w:bCs/>
          <w:kern w:val="0"/>
          <w14:ligatures w14:val="none"/>
        </w:rPr>
        <w:t>ych</w:t>
      </w:r>
      <w:r w:rsidRPr="007E08F7">
        <w:rPr>
          <w:rFonts w:asciiTheme="minorHAnsi" w:eastAsia="Aptos" w:hAnsiTheme="minorHAnsi" w:cs="Aptos"/>
          <w:bCs/>
          <w:kern w:val="0"/>
          <w14:ligatures w14:val="none"/>
        </w:rPr>
        <w:t xml:space="preserve"> wykluczeniem społecznym</w:t>
      </w:r>
      <w:r w:rsidRPr="007E08F7" w:rsidDel="005B00CE">
        <w:rPr>
          <w:rFonts w:asciiTheme="minorHAnsi" w:eastAsia="Aptos" w:hAnsiTheme="minorHAnsi" w:cs="Aptos"/>
          <w:bCs/>
          <w:kern w:val="0"/>
          <w14:ligatures w14:val="none"/>
        </w:rPr>
        <w:t xml:space="preserve"> </w:t>
      </w:r>
      <w:r w:rsidRPr="007E08F7">
        <w:rPr>
          <w:rFonts w:asciiTheme="minorHAnsi" w:eastAsia="Aptos" w:hAnsiTheme="minorHAnsi" w:cs="Aptos"/>
          <w:bCs/>
          <w:kern w:val="0"/>
          <w14:ligatures w14:val="none"/>
        </w:rPr>
        <w:t>wspiera realizację usług społecznych wzmacniając rozwój lokalny.</w:t>
      </w:r>
    </w:p>
    <w:p w14:paraId="4A76B658" w14:textId="77777777" w:rsidR="00E52C92" w:rsidRPr="007E08F7" w:rsidRDefault="00E52C92" w:rsidP="00147499">
      <w:pPr>
        <w:pStyle w:val="Nagwek3"/>
        <w:rPr>
          <w:rFonts w:eastAsia="Aptos" w:cs="Aptos"/>
        </w:rPr>
      </w:pPr>
      <w:bookmarkStart w:id="8" w:name="_Toc239772036"/>
      <w:r w:rsidRPr="007E08F7">
        <w:rPr>
          <w:rFonts w:eastAsia="Aptos"/>
        </w:rPr>
        <w:t>Infrastruktura oraz oferta turystyczna i czasu wolnego</w:t>
      </w:r>
      <w:bookmarkEnd w:id="8"/>
    </w:p>
    <w:p w14:paraId="473E2363" w14:textId="1EB7340A" w:rsidR="00E52C92" w:rsidRPr="007E08F7" w:rsidRDefault="00E52C92">
      <w:pPr>
        <w:numPr>
          <w:ilvl w:val="0"/>
          <w:numId w:val="8"/>
        </w:numPr>
        <w:tabs>
          <w:tab w:val="left" w:pos="3969"/>
        </w:tabs>
        <w:spacing w:before="120" w:after="120" w:line="288" w:lineRule="auto"/>
        <w:ind w:left="426" w:hanging="426"/>
        <w:rPr>
          <w:rFonts w:asciiTheme="minorHAnsi" w:eastAsia="Aptos" w:hAnsiTheme="minorHAnsi" w:cs="Aptos"/>
          <w:kern w:val="0"/>
          <w14:ligatures w14:val="none"/>
        </w:rPr>
      </w:pPr>
      <w:r w:rsidRPr="007E08F7">
        <w:rPr>
          <w:rFonts w:asciiTheme="minorHAnsi" w:eastAsia="Aptos" w:hAnsiTheme="minorHAnsi" w:cs="Aptos"/>
          <w:kern w:val="0"/>
          <w14:ligatures w14:val="none"/>
        </w:rPr>
        <w:t>Turystyka stanowi jeden</w:t>
      </w:r>
      <w:r w:rsidRPr="007E08F7">
        <w:rPr>
          <w:rFonts w:asciiTheme="minorHAnsi" w:hAnsiTheme="minorHAnsi"/>
        </w:rPr>
        <w:t xml:space="preserve"> z istotnych elementów gospodarki usługowej Pomorza oraz posiada zdolność generowania popytu w wielu powiązanych z nią sektorach. Jej</w:t>
      </w:r>
      <w:r w:rsidR="00150D5F" w:rsidRPr="007E08F7">
        <w:rPr>
          <w:rFonts w:asciiTheme="minorHAnsi" w:hAnsiTheme="minorHAnsi"/>
        </w:rPr>
        <w:t> </w:t>
      </w:r>
      <w:r w:rsidRPr="007E08F7">
        <w:rPr>
          <w:rFonts w:asciiTheme="minorHAnsi" w:hAnsiTheme="minorHAnsi"/>
        </w:rPr>
        <w:t>znaczenie odnosi się nie tylko do liczby odwiedzających i wielkości bazy noclegowej, ale przede wszystkim do wartości tworzonej przez przedsiębiorstwa, które ją obsługują. Generuje miejsca pracy, wydatki turystów pozostające w</w:t>
      </w:r>
      <w:r w:rsidR="00150D5F" w:rsidRPr="007E08F7">
        <w:rPr>
          <w:rFonts w:asciiTheme="minorHAnsi" w:hAnsiTheme="minorHAnsi"/>
        </w:rPr>
        <w:t> </w:t>
      </w:r>
      <w:r w:rsidRPr="007E08F7">
        <w:rPr>
          <w:rFonts w:asciiTheme="minorHAnsi" w:hAnsiTheme="minorHAnsi"/>
        </w:rPr>
        <w:t>regionie, a także stymuluje i wspiera wykorzystanie potencjałów innych branż i</w:t>
      </w:r>
      <w:r w:rsidR="00150D5F" w:rsidRPr="007E08F7">
        <w:rPr>
          <w:rFonts w:asciiTheme="minorHAnsi" w:hAnsiTheme="minorHAnsi"/>
        </w:rPr>
        <w:t> </w:t>
      </w:r>
      <w:r w:rsidRPr="007E08F7">
        <w:rPr>
          <w:rFonts w:asciiTheme="minorHAnsi" w:hAnsiTheme="minorHAnsi"/>
        </w:rPr>
        <w:t xml:space="preserve">dziedzin, w szczególności: kultury, sportu, zdrowia, transportu, gospodarki </w:t>
      </w:r>
      <w:r w:rsidRPr="007E08F7">
        <w:rPr>
          <w:rFonts w:asciiTheme="minorHAnsi" w:hAnsiTheme="minorHAnsi"/>
        </w:rPr>
        <w:lastRenderedPageBreak/>
        <w:t>morskiej, przemysłów kreatywnych, produkcji żywności oraz usług cyfrowych.</w:t>
      </w:r>
      <w:r w:rsidRPr="007E08F7">
        <w:rPr>
          <w:rFonts w:asciiTheme="minorHAnsi" w:eastAsia="Aptos" w:hAnsiTheme="minorHAnsi" w:cs="Aptos"/>
          <w:kern w:val="0"/>
          <w14:ligatures w14:val="none"/>
        </w:rPr>
        <w:t xml:space="preserve"> Pomaga też promować i utrwalać regionalne dziedzictwo kulturowe Pomorza. Jednocześnie jednak masowy ruch turystyczny generuje ogromną presję na lokalną społeczność i środowisko naturalne.</w:t>
      </w:r>
    </w:p>
    <w:p w14:paraId="35E06981" w14:textId="3965B80C" w:rsidR="00E52C92" w:rsidRPr="007E08F7" w:rsidRDefault="00E52C92">
      <w:pPr>
        <w:numPr>
          <w:ilvl w:val="0"/>
          <w:numId w:val="8"/>
        </w:numPr>
        <w:tabs>
          <w:tab w:val="left" w:pos="3969"/>
        </w:tabs>
        <w:spacing w:before="120" w:after="120" w:line="288" w:lineRule="auto"/>
        <w:ind w:left="426" w:hanging="426"/>
        <w:rPr>
          <w:rFonts w:asciiTheme="minorHAnsi" w:eastAsia="Aptos" w:hAnsiTheme="minorHAnsi" w:cs="Aptos"/>
          <w:kern w:val="0"/>
          <w14:ligatures w14:val="none"/>
        </w:rPr>
      </w:pPr>
      <w:r w:rsidRPr="007E08F7">
        <w:rPr>
          <w:rFonts w:asciiTheme="minorHAnsi" w:eastAsia="Aptos" w:hAnsiTheme="minorHAnsi" w:cs="Aptos"/>
          <w:kern w:val="0"/>
          <w14:ligatures w14:val="none"/>
        </w:rPr>
        <w:t xml:space="preserve">Województwo pomorskie należy do </w:t>
      </w:r>
      <w:r w:rsidRPr="007E08F7">
        <w:rPr>
          <w:rFonts w:asciiTheme="minorHAnsi" w:eastAsia="Aptos" w:hAnsiTheme="minorHAnsi" w:cs="Aptos"/>
          <w:b/>
          <w:bCs/>
          <w:kern w:val="0"/>
          <w14:ligatures w14:val="none"/>
        </w:rPr>
        <w:t xml:space="preserve">najbardziej atrakcyjnych regionów turystycznych </w:t>
      </w:r>
      <w:r w:rsidRPr="007E08F7">
        <w:rPr>
          <w:rFonts w:asciiTheme="minorHAnsi" w:eastAsia="Aptos" w:hAnsiTheme="minorHAnsi" w:cs="Aptos"/>
          <w:kern w:val="0"/>
          <w14:ligatures w14:val="none"/>
        </w:rPr>
        <w:t>w Polsce i jest jednym z najczęściej odwiedzanych w kraju. Jego</w:t>
      </w:r>
      <w:r w:rsidR="00150D5F" w:rsidRPr="007E08F7">
        <w:rPr>
          <w:rFonts w:asciiTheme="minorHAnsi" w:eastAsia="Aptos" w:hAnsiTheme="minorHAnsi" w:cs="Aptos"/>
          <w:kern w:val="0"/>
          <w14:ligatures w14:val="none"/>
        </w:rPr>
        <w:t> </w:t>
      </w:r>
      <w:r w:rsidRPr="007E08F7">
        <w:rPr>
          <w:rFonts w:asciiTheme="minorHAnsi" w:eastAsia="Aptos" w:hAnsiTheme="minorHAnsi" w:cs="Aptos"/>
          <w:kern w:val="0"/>
          <w14:ligatures w14:val="none"/>
        </w:rPr>
        <w:t>przewagi wynikają z dostępu do Morza Bałtyckiego, zróżnicowanych krajobrazów, bogatego dziedzictwa kulturowego, rozwiniętej infrastruktury turystyki aktywnej, szerokiej bazy noclegowej, różnorodnej oferty kulturalnej oraz spędzania czasu wolnego.</w:t>
      </w:r>
    </w:p>
    <w:p w14:paraId="7D3C39D9" w14:textId="0C674BB9" w:rsidR="00E52C92" w:rsidRPr="007E08F7" w:rsidRDefault="00E52C92">
      <w:pPr>
        <w:numPr>
          <w:ilvl w:val="0"/>
          <w:numId w:val="8"/>
        </w:numPr>
        <w:tabs>
          <w:tab w:val="left" w:pos="3969"/>
        </w:tabs>
        <w:spacing w:before="120" w:after="120" w:line="288" w:lineRule="auto"/>
        <w:ind w:left="426" w:hanging="426"/>
        <w:rPr>
          <w:rFonts w:asciiTheme="minorHAnsi" w:eastAsia="Aptos" w:hAnsiTheme="minorHAnsi" w:cs="Aptos"/>
          <w:kern w:val="0"/>
          <w14:ligatures w14:val="none"/>
        </w:rPr>
      </w:pPr>
      <w:r w:rsidRPr="007E08F7">
        <w:rPr>
          <w:rFonts w:asciiTheme="minorHAnsi" w:eastAsia="Aptos" w:hAnsiTheme="minorHAnsi" w:cs="Aptos"/>
          <w:kern w:val="0"/>
          <w14:ligatures w14:val="none"/>
        </w:rPr>
        <w:t xml:space="preserve">Znaczenie turystyki dla gospodarki potwierdzają zarówno wysoka liczba </w:t>
      </w:r>
      <w:r w:rsidRPr="007E08F7">
        <w:rPr>
          <w:rFonts w:asciiTheme="minorHAnsi" w:eastAsia="Aptos" w:hAnsiTheme="minorHAnsi"/>
          <w:kern w:val="0"/>
          <w14:ligatures w14:val="none"/>
        </w:rPr>
        <w:t>pracujących w sekcji zakwaterowania i gastronomii (ponad 26,7 tys.), co plasuje region na 6. miejscu w Polsce, jak i wysoki udział firm prowadzących działalność w</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 xml:space="preserve">tym sektorze w ogólnej liczbie podmiotów gospodarczych, co stawia region na 2. pozycji w kraju. </w:t>
      </w:r>
      <w:r w:rsidRPr="007E08F7">
        <w:t>Znaczna część firm prowadzi jednak działalność głównie sezonowo, zwłaszcza zlokalizowanych w pasie nadmorskim.</w:t>
      </w:r>
    </w:p>
    <w:p w14:paraId="0A843EAF" w14:textId="6CA4F243" w:rsidR="00E52C92" w:rsidRPr="007E08F7" w:rsidRDefault="00E52C92">
      <w:pPr>
        <w:numPr>
          <w:ilvl w:val="0"/>
          <w:numId w:val="8"/>
        </w:numPr>
        <w:spacing w:before="120" w:after="120" w:line="288" w:lineRule="auto"/>
        <w:ind w:left="425" w:hanging="425"/>
        <w:rPr>
          <w:rFonts w:asciiTheme="minorHAnsi" w:eastAsia="Aptos" w:hAnsiTheme="minorHAnsi" w:cs="Aptos"/>
          <w:kern w:val="0"/>
          <w14:ligatures w14:val="none"/>
        </w:rPr>
      </w:pPr>
      <w:r w:rsidRPr="007E08F7">
        <w:rPr>
          <w:rFonts w:asciiTheme="minorHAnsi" w:eastAsia="Aptos" w:hAnsiTheme="minorHAnsi" w:cs="Aptos"/>
          <w:kern w:val="0"/>
          <w14:ligatures w14:val="none"/>
        </w:rPr>
        <w:t xml:space="preserve">Pomorskie posiada </w:t>
      </w:r>
      <w:r w:rsidRPr="007E08F7">
        <w:rPr>
          <w:rFonts w:asciiTheme="minorHAnsi" w:eastAsia="Aptos" w:hAnsiTheme="minorHAnsi" w:cs="Aptos"/>
          <w:b/>
          <w:bCs/>
          <w:kern w:val="0"/>
          <w14:ligatures w14:val="none"/>
        </w:rPr>
        <w:t>jedną z największych baz noclegowych w Polsce</w:t>
      </w:r>
      <w:r w:rsidRPr="007E08F7">
        <w:rPr>
          <w:rFonts w:asciiTheme="minorHAnsi" w:eastAsia="Aptos" w:hAnsiTheme="minorHAnsi" w:cs="Aptos"/>
          <w:kern w:val="0"/>
          <w14:ligatures w14:val="none"/>
        </w:rPr>
        <w:t>, która zlokalizowana jest główne w nadmorskiej części regionu. W województwie znajduje się ponad 16 tys. obiektów noclegowych</w:t>
      </w:r>
      <w:r w:rsidRPr="007E08F7">
        <w:rPr>
          <w:rStyle w:val="Odwoanieprzypisudolnego"/>
          <w:rFonts w:asciiTheme="minorHAnsi" w:eastAsia="Aptos" w:hAnsiTheme="minorHAnsi" w:cs="Aptos"/>
          <w:kern w:val="0"/>
          <w14:ligatures w14:val="none"/>
        </w:rPr>
        <w:footnoteReference w:id="19"/>
      </w:r>
      <w:r w:rsidRPr="007E08F7">
        <w:rPr>
          <w:rFonts w:asciiTheme="minorHAnsi" w:eastAsia="Aptos" w:hAnsiTheme="minorHAnsi" w:cs="Aptos"/>
          <w:kern w:val="0"/>
          <w14:ligatures w14:val="none"/>
        </w:rPr>
        <w:t>. Liczba miejsc noclegowych przypadających na 1000 ludności od lat utrzymuje region na 2. pozycji w kraju (za</w:t>
      </w:r>
      <w:r w:rsidR="00150D5F" w:rsidRPr="007E08F7">
        <w:rPr>
          <w:rFonts w:asciiTheme="minorHAnsi" w:eastAsia="Aptos" w:hAnsiTheme="minorHAnsi" w:cs="Aptos"/>
          <w:kern w:val="0"/>
          <w14:ligatures w14:val="none"/>
        </w:rPr>
        <w:t> </w:t>
      </w:r>
      <w:r w:rsidRPr="007E08F7">
        <w:rPr>
          <w:rFonts w:asciiTheme="minorHAnsi" w:eastAsia="Aptos" w:hAnsiTheme="minorHAnsi" w:cs="Aptos"/>
          <w:kern w:val="0"/>
          <w14:ligatures w14:val="none"/>
        </w:rPr>
        <w:t>województwem zachodniopomorskim). Liczba obiektów skategoryzowanych</w:t>
      </w:r>
      <w:r w:rsidRPr="007E08F7">
        <w:rPr>
          <w:rStyle w:val="Odwoanieprzypisudolnego"/>
          <w:rFonts w:asciiTheme="minorHAnsi" w:eastAsia="Aptos" w:hAnsiTheme="minorHAnsi" w:cs="Aptos"/>
          <w:kern w:val="0"/>
          <w14:ligatures w14:val="none"/>
        </w:rPr>
        <w:footnoteReference w:id="20"/>
      </w:r>
      <w:r w:rsidRPr="007E08F7">
        <w:rPr>
          <w:rFonts w:asciiTheme="minorHAnsi" w:eastAsia="Aptos" w:hAnsiTheme="minorHAnsi" w:cs="Aptos"/>
          <w:kern w:val="0"/>
          <w14:ligatures w14:val="none"/>
        </w:rPr>
        <w:t xml:space="preserve"> plasuje województwo na 4. miejscu w kraju, w tym szczególnie wysoki udział stanowią hotele. </w:t>
      </w:r>
    </w:p>
    <w:p w14:paraId="0E657500" w14:textId="7E22E185" w:rsidR="00E52C92" w:rsidRPr="007E08F7" w:rsidRDefault="00E52C92">
      <w:pPr>
        <w:numPr>
          <w:ilvl w:val="0"/>
          <w:numId w:val="8"/>
        </w:numPr>
        <w:spacing w:before="120" w:after="120" w:line="288" w:lineRule="auto"/>
        <w:ind w:left="425" w:hanging="425"/>
        <w:rPr>
          <w:rFonts w:asciiTheme="minorHAnsi" w:eastAsia="Aptos" w:hAnsiTheme="minorHAnsi" w:cs="Aptos"/>
          <w:kern w:val="0"/>
          <w14:ligatures w14:val="none"/>
        </w:rPr>
      </w:pPr>
      <w:r w:rsidRPr="007E08F7">
        <w:rPr>
          <w:rFonts w:asciiTheme="minorHAnsi" w:eastAsia="Aptos" w:hAnsiTheme="minorHAnsi" w:cs="Aptos"/>
          <w:kern w:val="0"/>
          <w14:ligatures w14:val="none"/>
        </w:rPr>
        <w:t xml:space="preserve">Obserwuje się </w:t>
      </w:r>
      <w:r w:rsidRPr="007E08F7">
        <w:rPr>
          <w:rFonts w:asciiTheme="minorHAnsi" w:eastAsia="Aptos" w:hAnsiTheme="minorHAnsi"/>
          <w:b/>
          <w:bCs/>
          <w:kern w:val="0"/>
          <w14:ligatures w14:val="none"/>
        </w:rPr>
        <w:t xml:space="preserve">stały wzrost </w:t>
      </w:r>
      <w:r w:rsidRPr="007E08F7">
        <w:rPr>
          <w:rFonts w:asciiTheme="minorHAnsi" w:eastAsia="Aptos" w:hAnsiTheme="minorHAnsi" w:cs="Aptos"/>
          <w:b/>
          <w:bCs/>
          <w:kern w:val="0"/>
          <w14:ligatures w14:val="none"/>
        </w:rPr>
        <w:t>liczby turystów odwiedzających Pomorze</w:t>
      </w:r>
      <w:r w:rsidRPr="007E08F7">
        <w:rPr>
          <w:rFonts w:asciiTheme="minorHAnsi" w:eastAsia="Aptos" w:hAnsiTheme="minorHAnsi" w:cs="Aptos"/>
          <w:kern w:val="0"/>
          <w14:ligatures w14:val="none"/>
        </w:rPr>
        <w:t xml:space="preserve">, co znajduje odzwierciedlenie w rosnącej liczbie osób korzystających z noclegów. Województwo zajmuje pod tym względem 5. miejsce w kraju. Co istotne, wyraźnie </w:t>
      </w:r>
      <w:r w:rsidRPr="007E08F7">
        <w:rPr>
          <w:rFonts w:asciiTheme="minorHAnsi" w:eastAsia="Aptos" w:hAnsiTheme="minorHAnsi" w:cs="Aptos"/>
          <w:b/>
          <w:bCs/>
          <w:kern w:val="0"/>
          <w14:ligatures w14:val="none"/>
        </w:rPr>
        <w:t>wzrasta liczba osób korzystających z noclegów poza sezonem letnim</w:t>
      </w:r>
      <w:r w:rsidRPr="007E08F7">
        <w:rPr>
          <w:rFonts w:asciiTheme="minorHAnsi" w:eastAsia="Aptos" w:hAnsiTheme="minorHAnsi" w:cs="Aptos"/>
          <w:kern w:val="0"/>
          <w14:ligatures w14:val="none"/>
        </w:rPr>
        <w:t xml:space="preserve"> (od</w:t>
      </w:r>
      <w:r w:rsidR="00150D5F" w:rsidRPr="007E08F7">
        <w:rPr>
          <w:rFonts w:asciiTheme="minorHAnsi" w:eastAsia="Aptos" w:hAnsiTheme="minorHAnsi" w:cs="Aptos"/>
          <w:kern w:val="0"/>
          <w14:ligatures w14:val="none"/>
        </w:rPr>
        <w:t> </w:t>
      </w:r>
      <w:r w:rsidRPr="007E08F7">
        <w:rPr>
          <w:rFonts w:asciiTheme="minorHAnsi" w:eastAsia="Aptos" w:hAnsiTheme="minorHAnsi" w:cs="Aptos"/>
          <w:kern w:val="0"/>
          <w14:ligatures w14:val="none"/>
        </w:rPr>
        <w:t xml:space="preserve">października do kwietnia). Ostatnia dekada przyniosła wzrost o ok. 7 </w:t>
      </w:r>
      <w:proofErr w:type="spellStart"/>
      <w:r w:rsidRPr="007E08F7">
        <w:rPr>
          <w:rFonts w:asciiTheme="minorHAnsi" w:eastAsia="Aptos" w:hAnsiTheme="minorHAnsi" w:cs="Aptos"/>
          <w:kern w:val="0"/>
          <w14:ligatures w14:val="none"/>
        </w:rPr>
        <w:t>p.p</w:t>
      </w:r>
      <w:proofErr w:type="spellEnd"/>
      <w:r w:rsidRPr="007E08F7">
        <w:rPr>
          <w:rFonts w:asciiTheme="minorHAnsi" w:eastAsia="Aptos" w:hAnsiTheme="minorHAnsi" w:cs="Aptos"/>
          <w:kern w:val="0"/>
          <w14:ligatures w14:val="none"/>
        </w:rPr>
        <w:t xml:space="preserve">. (z 35% do 42% udzielonych noclegów poza sezonem). Pod względem łącznej liczby turystów krajowych i zagranicznych region należy do ścisłej czołówki najczęściej wybieranych kierunków w Polsce, co potwierdza jego wysoką atrakcyjność oraz silną pozycję w krajowym ruchu turystycznym. </w:t>
      </w:r>
    </w:p>
    <w:p w14:paraId="65464808" w14:textId="5FD824F5" w:rsidR="00E52C92" w:rsidRPr="007E08F7" w:rsidRDefault="00E52C92">
      <w:pPr>
        <w:keepLines/>
        <w:numPr>
          <w:ilvl w:val="0"/>
          <w:numId w:val="8"/>
        </w:numPr>
        <w:spacing w:before="120" w:after="120" w:line="288" w:lineRule="auto"/>
        <w:ind w:left="425" w:hanging="425"/>
        <w:rPr>
          <w:rFonts w:asciiTheme="minorHAnsi" w:eastAsia="Aptos" w:hAnsiTheme="minorHAnsi" w:cs="Aptos"/>
          <w:kern w:val="0"/>
          <w14:ligatures w14:val="none"/>
        </w:rPr>
      </w:pPr>
      <w:r w:rsidRPr="007E08F7">
        <w:rPr>
          <w:rFonts w:asciiTheme="minorHAnsi" w:eastAsia="Aptos" w:hAnsiTheme="minorHAnsi" w:cs="Aptos"/>
          <w:kern w:val="0"/>
          <w14:ligatures w14:val="none"/>
        </w:rPr>
        <w:lastRenderedPageBreak/>
        <w:t>Województwo pomorskie jest też jednym z liderów w kraju w najmie krótkoterminowym, który w ostatnich latach charakteryzował się dynamicznym wzrostem</w:t>
      </w:r>
      <w:r w:rsidRPr="007E08F7">
        <w:rPr>
          <w:rStyle w:val="Odwoanieprzypisudolnego"/>
          <w:rFonts w:asciiTheme="minorHAnsi" w:eastAsia="Aptos" w:hAnsiTheme="minorHAnsi" w:cs="Aptos"/>
          <w:kern w:val="0"/>
          <w14:ligatures w14:val="none"/>
        </w:rPr>
        <w:footnoteReference w:id="21"/>
      </w:r>
      <w:r w:rsidRPr="007E08F7">
        <w:rPr>
          <w:rFonts w:asciiTheme="minorHAnsi" w:eastAsia="Aptos" w:hAnsiTheme="minorHAnsi" w:cs="Aptos"/>
          <w:kern w:val="0"/>
          <w14:ligatures w14:val="none"/>
        </w:rPr>
        <w:t>. W 2025 r. Pomorze zajęło 2. miejsce w kraju, po Małopolsce, osiągając 7,27 mln noclegów zarezerwowanych przez platformy internetowe</w:t>
      </w:r>
      <w:r w:rsidRPr="007E08F7">
        <w:rPr>
          <w:rStyle w:val="Odwoanieprzypisudolnego"/>
          <w:rFonts w:asciiTheme="minorHAnsi" w:eastAsia="Aptos" w:hAnsiTheme="minorHAnsi" w:cs="Aptos"/>
          <w:kern w:val="0"/>
          <w14:ligatures w14:val="none"/>
        </w:rPr>
        <w:footnoteReference w:id="22"/>
      </w:r>
      <w:r w:rsidRPr="007E08F7">
        <w:rPr>
          <w:rFonts w:asciiTheme="minorHAnsi" w:eastAsia="Aptos" w:hAnsiTheme="minorHAnsi" w:cs="Aptos"/>
          <w:kern w:val="0"/>
          <w14:ligatures w14:val="none"/>
        </w:rPr>
        <w:t>, przy czym największy udział mieli turyści krajowi, którzy odpowiadali za 68% wszystkich noclegów</w:t>
      </w:r>
      <w:r w:rsidRPr="007E08F7">
        <w:rPr>
          <w:rStyle w:val="Odwoanieprzypisudolnego"/>
          <w:rFonts w:asciiTheme="minorHAnsi" w:eastAsia="Aptos" w:hAnsiTheme="minorHAnsi" w:cs="Aptos"/>
          <w:kern w:val="0"/>
          <w14:ligatures w14:val="none"/>
        </w:rPr>
        <w:footnoteReference w:id="23"/>
      </w:r>
      <w:r w:rsidRPr="007E08F7">
        <w:rPr>
          <w:rFonts w:asciiTheme="minorHAnsi" w:eastAsia="Aptos" w:hAnsiTheme="minorHAnsi" w:cs="Aptos"/>
          <w:kern w:val="0"/>
          <w14:ligatures w14:val="none"/>
        </w:rPr>
        <w:t>.</w:t>
      </w:r>
    </w:p>
    <w:p w14:paraId="54463C3D" w14:textId="7F139FDB" w:rsidR="00E52C92" w:rsidRPr="007E08F7" w:rsidRDefault="00E52C92">
      <w:pPr>
        <w:numPr>
          <w:ilvl w:val="0"/>
          <w:numId w:val="8"/>
        </w:numPr>
        <w:spacing w:before="120" w:after="120" w:line="288" w:lineRule="auto"/>
        <w:ind w:left="425" w:hanging="425"/>
        <w:rPr>
          <w:rFonts w:asciiTheme="minorHAnsi" w:eastAsia="Aptos" w:hAnsiTheme="minorHAnsi" w:cs="Aptos"/>
          <w:kern w:val="0"/>
          <w14:ligatures w14:val="none"/>
        </w:rPr>
      </w:pPr>
      <w:r w:rsidRPr="007E08F7">
        <w:rPr>
          <w:rFonts w:asciiTheme="minorHAnsi" w:eastAsia="Aptos" w:hAnsiTheme="minorHAnsi"/>
          <w:kern w:val="0"/>
          <w14:ligatures w14:val="none"/>
        </w:rPr>
        <w:t xml:space="preserve">Dynamicznie też </w:t>
      </w:r>
      <w:r w:rsidRPr="007E08F7">
        <w:rPr>
          <w:rFonts w:asciiTheme="minorHAnsi" w:eastAsia="Aptos" w:hAnsiTheme="minorHAnsi"/>
          <w:b/>
          <w:bCs/>
          <w:kern w:val="0"/>
          <w14:ligatures w14:val="none"/>
        </w:rPr>
        <w:t>rośnie znaczenie turystyki biznesowej, zdrowotnej oraz kulturowej</w:t>
      </w:r>
      <w:r w:rsidRPr="007E08F7">
        <w:rPr>
          <w:rFonts w:asciiTheme="minorHAnsi" w:eastAsia="Aptos" w:hAnsiTheme="minorHAnsi"/>
          <w:kern w:val="0"/>
          <w14:ligatures w14:val="none"/>
        </w:rPr>
        <w:t xml:space="preserve">, w ramach której ważną specjalizacją staje się </w:t>
      </w:r>
      <w:r w:rsidRPr="007E08F7">
        <w:rPr>
          <w:rFonts w:asciiTheme="minorHAnsi" w:eastAsia="Aptos" w:hAnsiTheme="minorHAnsi"/>
          <w:b/>
          <w:bCs/>
          <w:kern w:val="0"/>
          <w14:ligatures w14:val="none"/>
        </w:rPr>
        <w:t>turystyka kulinarna</w:t>
      </w:r>
      <w:r w:rsidRPr="007E08F7">
        <w:rPr>
          <w:rFonts w:asciiTheme="minorHAnsi" w:eastAsia="Aptos" w:hAnsiTheme="minorHAnsi"/>
          <w:kern w:val="0"/>
          <w14:ligatures w14:val="none"/>
        </w:rPr>
        <w:t>. Rozwój przemysłu spotkań (konferencje, kongresy, targi) oraz oferty kulturalnej (festiwale, jarmarki, koncerty) jest coraz silniej integrowany z lokalnym dziedzictwem gastronomicznym, tradycyjnymi produktami i unikalnymi doświadczeniami smakowymi. Synergia tych niszowych sektorów pozwala na</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tworzenie atrakcyjnej oferty całorocznej.</w:t>
      </w:r>
    </w:p>
    <w:p w14:paraId="2581C821" w14:textId="77777777" w:rsidR="00E52C92" w:rsidRPr="007E08F7" w:rsidRDefault="00E52C92">
      <w:pPr>
        <w:numPr>
          <w:ilvl w:val="0"/>
          <w:numId w:val="8"/>
        </w:numPr>
        <w:spacing w:before="120" w:after="120" w:line="288" w:lineRule="auto"/>
        <w:ind w:left="425" w:hanging="425"/>
        <w:rPr>
          <w:rFonts w:asciiTheme="minorHAnsi" w:eastAsia="Aptos" w:hAnsiTheme="minorHAnsi" w:cs="Aptos"/>
          <w:kern w:val="0"/>
          <w14:ligatures w14:val="none"/>
        </w:rPr>
      </w:pPr>
      <w:r w:rsidRPr="007E08F7">
        <w:rPr>
          <w:rFonts w:asciiTheme="minorHAnsi" w:eastAsia="Aptos" w:hAnsiTheme="minorHAnsi" w:cs="Aptos"/>
          <w:kern w:val="0"/>
          <w14:ligatures w14:val="none"/>
        </w:rPr>
        <w:t xml:space="preserve">Rosnące </w:t>
      </w:r>
      <w:r w:rsidRPr="007E08F7">
        <w:rPr>
          <w:rFonts w:asciiTheme="minorHAnsi" w:eastAsia="Aptos" w:hAnsiTheme="minorHAnsi"/>
          <w:kern w:val="0"/>
          <w14:ligatures w14:val="none"/>
        </w:rPr>
        <w:t xml:space="preserve">oczekiwania turystów dotyczące </w:t>
      </w:r>
      <w:r w:rsidRPr="007E08F7">
        <w:rPr>
          <w:rFonts w:asciiTheme="minorHAnsi" w:eastAsia="Aptos" w:hAnsiTheme="minorHAnsi"/>
          <w:b/>
          <w:bCs/>
          <w:kern w:val="0"/>
          <w14:ligatures w14:val="none"/>
        </w:rPr>
        <w:t>jakości usług, różnorodnej oferty turystycznej, stanu środowiska, dostępności cyfrowej oraz komfortu podróżowania</w:t>
      </w:r>
      <w:r w:rsidRPr="007E08F7">
        <w:rPr>
          <w:rFonts w:asciiTheme="minorHAnsi" w:eastAsia="Aptos" w:hAnsiTheme="minorHAnsi"/>
          <w:kern w:val="0"/>
          <w14:ligatures w14:val="none"/>
        </w:rPr>
        <w:t xml:space="preserve"> zwiększają znaczenie wysokich standardów infrastruktury turystycznej w regionie. Stają się one kluczowym czynnikiem utrzymania konkurencyjności Pomorza na dynamicznie zmieniającym się rynku.</w:t>
      </w:r>
    </w:p>
    <w:p w14:paraId="7EE756E7" w14:textId="77777777" w:rsidR="00E52C92" w:rsidRPr="007E08F7" w:rsidRDefault="00E52C92">
      <w:pPr>
        <w:numPr>
          <w:ilvl w:val="0"/>
          <w:numId w:val="8"/>
        </w:numPr>
        <w:spacing w:before="120" w:after="120" w:line="288" w:lineRule="auto"/>
        <w:ind w:left="425" w:hanging="425"/>
        <w:rPr>
          <w:rFonts w:asciiTheme="minorHAnsi" w:eastAsia="Aptos" w:hAnsiTheme="minorHAnsi" w:cs="Aptos"/>
          <w:kern w:val="0"/>
          <w14:ligatures w14:val="none"/>
        </w:rPr>
      </w:pPr>
      <w:r w:rsidRPr="007E08F7">
        <w:rPr>
          <w:rFonts w:asciiTheme="minorHAnsi" w:eastAsia="Aptos" w:hAnsiTheme="minorHAnsi"/>
          <w:kern w:val="0"/>
          <w14:ligatures w14:val="none"/>
        </w:rPr>
        <w:t xml:space="preserve">Pomorskie posiada </w:t>
      </w:r>
      <w:r w:rsidRPr="007E08F7">
        <w:rPr>
          <w:rFonts w:asciiTheme="minorHAnsi" w:eastAsia="Aptos" w:hAnsiTheme="minorHAnsi"/>
          <w:b/>
          <w:bCs/>
          <w:kern w:val="0"/>
          <w14:ligatures w14:val="none"/>
        </w:rPr>
        <w:t>wysoki potencjał rozwoju sportu i rekreacji</w:t>
      </w:r>
      <w:r w:rsidRPr="007E08F7">
        <w:rPr>
          <w:rFonts w:asciiTheme="minorHAnsi" w:eastAsia="Aptos" w:hAnsiTheme="minorHAnsi"/>
          <w:kern w:val="0"/>
          <w14:ligatures w14:val="none"/>
        </w:rPr>
        <w:t xml:space="preserve">, wynikający zarówno z różnorodnych walorów przyrodniczych, jak również z bazy sportowo-rekreacyjnej oraz aktywności klubów, organizacji i samorządów. Potencjał ten potwierdza ponadprzeciętna na tle kraju liczba osób ćwiczących w klubach sportowych, w tym również dzieci i młodzieży. Potencjał ten nie jest jednak w pełni wykorzystywany, a dostępność i różnorodność oferty sportowej i rekreacyjnej pozostają zróżnicowane terytorialnie i nie zawsze odpowiadają potrzebom wszystkich grup mieszkańców. </w:t>
      </w:r>
    </w:p>
    <w:p w14:paraId="0BFDCF9C" w14:textId="77777777" w:rsidR="00E52C92" w:rsidRPr="007E08F7" w:rsidRDefault="00E52C92" w:rsidP="00147499">
      <w:pPr>
        <w:pStyle w:val="Nagwek3"/>
        <w:rPr>
          <w:rFonts w:eastAsia="Aptos"/>
        </w:rPr>
      </w:pPr>
      <w:bookmarkStart w:id="9" w:name="_Toc239772037"/>
      <w:r w:rsidRPr="007E08F7">
        <w:rPr>
          <w:rFonts w:eastAsia="Aptos"/>
        </w:rPr>
        <w:t>Węzeł transportowo-logistyczny</w:t>
      </w:r>
      <w:bookmarkEnd w:id="9"/>
    </w:p>
    <w:p w14:paraId="23125888" w14:textId="775ECE52" w:rsidR="00E52C92" w:rsidRPr="007E08F7" w:rsidRDefault="00E52C92">
      <w:pPr>
        <w:numPr>
          <w:ilvl w:val="0"/>
          <w:numId w:val="8"/>
        </w:numPr>
        <w:spacing w:before="120" w:after="120" w:line="288" w:lineRule="auto"/>
        <w:ind w:left="425" w:hanging="425"/>
        <w:rPr>
          <w:rFonts w:asciiTheme="minorHAnsi" w:eastAsia="Calibri" w:hAnsiTheme="minorHAnsi" w:cs="Aptos"/>
          <w:kern w:val="0"/>
          <w14:ligatures w14:val="none"/>
        </w:rPr>
      </w:pPr>
      <w:r w:rsidRPr="007E08F7">
        <w:rPr>
          <w:rFonts w:asciiTheme="minorHAnsi" w:eastAsia="Aptos" w:hAnsiTheme="minorHAnsi"/>
          <w:kern w:val="0"/>
          <w14:ligatures w14:val="none"/>
        </w:rPr>
        <w:t xml:space="preserve">Województwo pomorskie jest </w:t>
      </w:r>
      <w:r w:rsidRPr="007E08F7">
        <w:rPr>
          <w:rFonts w:asciiTheme="minorHAnsi" w:eastAsia="Aptos" w:hAnsiTheme="minorHAnsi"/>
          <w:b/>
          <w:bCs/>
          <w:kern w:val="0"/>
          <w14:ligatures w14:val="none"/>
        </w:rPr>
        <w:t>kluczowym ośrodkiem gospodarki morskiej</w:t>
      </w:r>
      <w:r w:rsidRPr="007E08F7">
        <w:rPr>
          <w:rFonts w:asciiTheme="minorHAnsi" w:eastAsia="Aptos" w:hAnsiTheme="minorHAnsi"/>
          <w:kern w:val="0"/>
          <w14:ligatures w14:val="none"/>
        </w:rPr>
        <w:t xml:space="preserve"> w</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Polsce,</w:t>
      </w:r>
      <w:r w:rsidRPr="007E08F7">
        <w:rPr>
          <w:rFonts w:asciiTheme="minorHAnsi" w:eastAsia="Aptos" w:hAnsiTheme="minorHAnsi"/>
        </w:rPr>
        <w:t xml:space="preserve"> w tym przemysłu stoczniowego</w:t>
      </w:r>
      <w:r w:rsidRPr="007E08F7">
        <w:rPr>
          <w:rFonts w:asciiTheme="minorHAnsi" w:eastAsia="Aptos" w:hAnsiTheme="minorHAnsi"/>
          <w:kern w:val="0"/>
          <w14:ligatures w14:val="none"/>
        </w:rPr>
        <w:t>. Skupia znaczną część podmiotów i</w:t>
      </w:r>
      <w:r w:rsidR="00150D5F" w:rsidRPr="007E08F7">
        <w:rPr>
          <w:rFonts w:asciiTheme="minorHAnsi" w:eastAsia="Aptos" w:hAnsiTheme="minorHAnsi"/>
          <w:kern w:val="0"/>
          <w14:ligatures w14:val="none"/>
        </w:rPr>
        <w:t> </w:t>
      </w:r>
      <w:r w:rsidRPr="007E08F7">
        <w:rPr>
          <w:rFonts w:asciiTheme="minorHAnsi" w:eastAsia="Aptos" w:hAnsiTheme="minorHAnsi"/>
          <w:kern w:val="0"/>
          <w14:ligatures w14:val="none"/>
        </w:rPr>
        <w:t>zatrudnionych tej branży</w:t>
      </w:r>
      <w:r w:rsidRPr="007E08F7" w:rsidDel="00067266">
        <w:rPr>
          <w:rFonts w:asciiTheme="minorHAnsi" w:eastAsia="Aptos" w:hAnsiTheme="minorHAnsi"/>
          <w:kern w:val="0"/>
          <w14:ligatures w14:val="none"/>
        </w:rPr>
        <w:t xml:space="preserve"> </w:t>
      </w:r>
      <w:r w:rsidRPr="007E08F7">
        <w:rPr>
          <w:rFonts w:asciiTheme="minorHAnsi" w:eastAsia="Aptos" w:hAnsiTheme="minorHAnsi"/>
          <w:kern w:val="0"/>
          <w14:ligatures w14:val="none"/>
        </w:rPr>
        <w:t xml:space="preserve">w kraju. </w:t>
      </w:r>
      <w:r w:rsidRPr="007E08F7">
        <w:rPr>
          <w:rFonts w:asciiTheme="minorHAnsi" w:eastAsia="Aptos" w:hAnsiTheme="minorHAnsi"/>
        </w:rPr>
        <w:t xml:space="preserve">Działalność stoczniowa koncentruje się przede wszystkim na remontach i modernizacjach jednostek pływających, budowie jednostek specjalistycznych, produkcji wyposażenia okrętowego oraz działalności projektowo-inżynieryjnej. Sektor tworzy rozbudowany regionalny łańcuch dostaw obejmujący liczne MŚP i wyspecjalizowanych podwykonawców, a rozwój morskiej </w:t>
      </w:r>
      <w:r w:rsidRPr="007E08F7">
        <w:rPr>
          <w:rFonts w:asciiTheme="minorHAnsi" w:eastAsia="Aptos" w:hAnsiTheme="minorHAnsi"/>
        </w:rPr>
        <w:lastRenderedPageBreak/>
        <w:t>energetyki wiatrowej wzmacnia funkcje produkcyjne, serwisowe i logistyczne portów oraz stoczni, w tym mniejszych portów nadmorskich.</w:t>
      </w:r>
    </w:p>
    <w:p w14:paraId="11DB307A" w14:textId="1C7393D2" w:rsidR="00E52C92" w:rsidRPr="007E08F7" w:rsidRDefault="00E52C92">
      <w:pPr>
        <w:numPr>
          <w:ilvl w:val="0"/>
          <w:numId w:val="8"/>
        </w:numPr>
        <w:spacing w:before="120" w:after="120" w:line="288" w:lineRule="auto"/>
        <w:ind w:left="360" w:hanging="425"/>
        <w:rPr>
          <w:rFonts w:asciiTheme="minorHAnsi" w:eastAsia="Calibri" w:hAnsiTheme="minorHAnsi" w:cs="Aptos"/>
          <w:kern w:val="0"/>
          <w14:ligatures w14:val="none"/>
        </w:rPr>
      </w:pPr>
      <w:r w:rsidRPr="007E08F7">
        <w:rPr>
          <w:rFonts w:asciiTheme="minorHAnsi" w:eastAsia="Calibri" w:hAnsiTheme="minorHAnsi" w:cs="Aptos"/>
          <w:kern w:val="0"/>
          <w14:ligatures w14:val="none"/>
        </w:rPr>
        <w:t>Porty morskie województwa mają kluczowe znaczenie dla gospodarki kraju. Porty w</w:t>
      </w:r>
      <w:r w:rsidR="00150D5F" w:rsidRPr="007E08F7">
        <w:rPr>
          <w:rFonts w:asciiTheme="minorHAnsi" w:eastAsia="Calibri" w:hAnsiTheme="minorHAnsi" w:cs="Aptos"/>
          <w:kern w:val="0"/>
          <w14:ligatures w14:val="none"/>
        </w:rPr>
        <w:t> </w:t>
      </w:r>
      <w:r w:rsidRPr="007E08F7">
        <w:rPr>
          <w:rFonts w:asciiTheme="minorHAnsi" w:eastAsia="Calibri" w:hAnsiTheme="minorHAnsi" w:cs="Aptos"/>
          <w:kern w:val="0"/>
          <w14:ligatures w14:val="none"/>
        </w:rPr>
        <w:t xml:space="preserve">Gdańsku i Gdyni łącznie obsługują ponad </w:t>
      </w:r>
      <w:r w:rsidRPr="007E08F7">
        <w:rPr>
          <w:rFonts w:asciiTheme="minorHAnsi" w:eastAsia="Calibri" w:hAnsiTheme="minorHAnsi" w:cs="Aptos"/>
          <w:b/>
          <w:bCs/>
          <w:kern w:val="0"/>
          <w14:ligatures w14:val="none"/>
        </w:rPr>
        <w:t>75% ogólnokrajowych obrotów ładunkowych</w:t>
      </w:r>
      <w:r w:rsidRPr="007E08F7">
        <w:rPr>
          <w:rFonts w:asciiTheme="minorHAnsi" w:eastAsia="Calibri" w:hAnsiTheme="minorHAnsi" w:cs="Aptos"/>
          <w:kern w:val="0"/>
          <w14:ligatures w14:val="none"/>
        </w:rPr>
        <w:t xml:space="preserve">. </w:t>
      </w:r>
    </w:p>
    <w:p w14:paraId="20DF6E59" w14:textId="61D4443E" w:rsidR="00E52C92" w:rsidRPr="007E08F7" w:rsidRDefault="00E52C92">
      <w:pPr>
        <w:numPr>
          <w:ilvl w:val="0"/>
          <w:numId w:val="8"/>
        </w:numPr>
        <w:spacing w:before="120" w:after="120" w:line="288" w:lineRule="auto"/>
        <w:ind w:left="360" w:hanging="425"/>
        <w:rPr>
          <w:rFonts w:asciiTheme="minorHAnsi" w:eastAsia="Calibri" w:hAnsiTheme="minorHAnsi" w:cs="Aptos"/>
          <w:kern w:val="0"/>
          <w14:ligatures w14:val="none"/>
        </w:rPr>
      </w:pPr>
      <w:r w:rsidRPr="007E08F7">
        <w:rPr>
          <w:rFonts w:asciiTheme="minorHAnsi" w:eastAsia="Calibri" w:hAnsiTheme="minorHAnsi" w:cs="Aptos"/>
          <w:kern w:val="0"/>
          <w14:ligatures w14:val="none"/>
        </w:rPr>
        <w:t>Port Gdańsk umacnia swoją pozycję wśród największych portów Europy. W 2025 r. awansował na 8. miejsce w Europie i 6. w Unii Europejskiej</w:t>
      </w:r>
      <w:r w:rsidRPr="007E08F7">
        <w:rPr>
          <w:rStyle w:val="Odwoanieprzypisudolnego"/>
          <w:rFonts w:asciiTheme="minorHAnsi" w:eastAsia="Calibri" w:hAnsiTheme="minorHAnsi" w:cs="Aptos"/>
          <w:kern w:val="0"/>
          <w14:ligatures w14:val="none"/>
        </w:rPr>
        <w:footnoteReference w:id="24"/>
      </w:r>
      <w:r w:rsidRPr="007E08F7">
        <w:rPr>
          <w:rFonts w:asciiTheme="minorHAnsi" w:eastAsia="Calibri" w:hAnsiTheme="minorHAnsi" w:cs="Aptos"/>
          <w:kern w:val="0"/>
          <w14:ligatures w14:val="none"/>
        </w:rPr>
        <w:t>. W 2024 r. awansował też na 89. pozycję</w:t>
      </w:r>
      <w:r w:rsidRPr="007E08F7">
        <w:rPr>
          <w:rFonts w:asciiTheme="minorHAnsi" w:eastAsia="Aptos" w:hAnsiTheme="minorHAnsi" w:cs="Times New Roman"/>
          <w:kern w:val="0"/>
          <w14:ligatures w14:val="none"/>
        </w:rPr>
        <w:t xml:space="preserve"> w </w:t>
      </w:r>
      <w:r w:rsidRPr="007E08F7">
        <w:rPr>
          <w:rFonts w:asciiTheme="minorHAnsi" w:eastAsia="Calibri" w:hAnsiTheme="minorHAnsi" w:cs="Aptos"/>
          <w:kern w:val="0"/>
          <w14:ligatures w14:val="none"/>
        </w:rPr>
        <w:t>rankingu największych portów kontenerowych świata</w:t>
      </w:r>
      <w:r w:rsidRPr="007E08F7">
        <w:rPr>
          <w:rStyle w:val="Odwoanieprzypisudolnego"/>
          <w:rFonts w:asciiTheme="minorHAnsi" w:eastAsia="Calibri" w:hAnsiTheme="minorHAnsi" w:cs="Aptos"/>
          <w:kern w:val="0"/>
          <w14:ligatures w14:val="none"/>
        </w:rPr>
        <w:footnoteReference w:id="25"/>
      </w:r>
      <w:r w:rsidRPr="007E08F7">
        <w:rPr>
          <w:rFonts w:asciiTheme="minorHAnsi" w:eastAsia="Calibri" w:hAnsiTheme="minorHAnsi" w:cs="Aptos"/>
          <w:kern w:val="0"/>
          <w14:ligatures w14:val="none"/>
        </w:rPr>
        <w:t>. Wygenerował wówczas 44,6</w:t>
      </w:r>
      <w:r w:rsidR="00926958" w:rsidRPr="007E08F7">
        <w:rPr>
          <w:rFonts w:asciiTheme="minorHAnsi" w:eastAsia="Calibri" w:hAnsiTheme="minorHAnsi" w:cs="Aptos"/>
          <w:kern w:val="0"/>
          <w14:ligatures w14:val="none"/>
        </w:rPr>
        <w:t xml:space="preserve"> </w:t>
      </w:r>
      <w:r w:rsidRPr="007E08F7">
        <w:rPr>
          <w:rFonts w:asciiTheme="minorHAnsi" w:eastAsia="Calibri" w:hAnsiTheme="minorHAnsi" w:cs="Aptos"/>
          <w:kern w:val="0"/>
          <w14:ligatures w14:val="none"/>
        </w:rPr>
        <w:t>mld</w:t>
      </w:r>
      <w:r w:rsidR="00926958" w:rsidRPr="007E08F7">
        <w:rPr>
          <w:rFonts w:asciiTheme="minorHAnsi" w:eastAsia="Calibri" w:hAnsiTheme="minorHAnsi" w:cs="Aptos"/>
          <w:kern w:val="0"/>
          <w14:ligatures w14:val="none"/>
        </w:rPr>
        <w:t xml:space="preserve"> </w:t>
      </w:r>
      <w:r w:rsidRPr="007E08F7">
        <w:rPr>
          <w:rFonts w:asciiTheme="minorHAnsi" w:eastAsia="Calibri" w:hAnsiTheme="minorHAnsi" w:cs="Aptos"/>
          <w:kern w:val="0"/>
          <w14:ligatures w14:val="none"/>
        </w:rPr>
        <w:t>zł wpływów podatkowych do budżetu państwa, a</w:t>
      </w:r>
      <w:r w:rsidR="00150D5F" w:rsidRPr="007E08F7">
        <w:rPr>
          <w:rFonts w:asciiTheme="minorHAnsi" w:eastAsia="Calibri" w:hAnsiTheme="minorHAnsi" w:cs="Aptos"/>
          <w:kern w:val="0"/>
          <w14:ligatures w14:val="none"/>
        </w:rPr>
        <w:t> </w:t>
      </w:r>
      <w:r w:rsidRPr="007E08F7">
        <w:rPr>
          <w:rFonts w:asciiTheme="minorHAnsi" w:eastAsia="Calibri" w:hAnsiTheme="minorHAnsi" w:cs="Aptos"/>
          <w:kern w:val="0"/>
          <w14:ligatures w14:val="none"/>
        </w:rPr>
        <w:t>jego udział w regionalnym PKB wynosił niemal 6%</w:t>
      </w:r>
      <w:r w:rsidRPr="007E08F7">
        <w:rPr>
          <w:rStyle w:val="Odwoanieprzypisudolnego"/>
          <w:rFonts w:asciiTheme="minorHAnsi" w:eastAsia="Calibri" w:hAnsiTheme="minorHAnsi" w:cs="Aptos"/>
          <w:kern w:val="0"/>
          <w14:ligatures w14:val="none"/>
        </w:rPr>
        <w:footnoteReference w:id="26"/>
      </w:r>
      <w:r w:rsidRPr="007E08F7">
        <w:rPr>
          <w:rFonts w:asciiTheme="minorHAnsi" w:eastAsia="Calibri" w:hAnsiTheme="minorHAnsi" w:cs="Aptos"/>
          <w:kern w:val="0"/>
          <w14:ligatures w14:val="none"/>
        </w:rPr>
        <w:t xml:space="preserve">. </w:t>
      </w:r>
      <w:proofErr w:type="spellStart"/>
      <w:r w:rsidRPr="007E08F7">
        <w:rPr>
          <w:rFonts w:asciiTheme="minorHAnsi" w:eastAsia="Calibri" w:hAnsiTheme="minorHAnsi" w:cs="Aptos"/>
          <w:kern w:val="0"/>
          <w14:ligatures w14:val="none"/>
        </w:rPr>
        <w:t>Baltic</w:t>
      </w:r>
      <w:proofErr w:type="spellEnd"/>
      <w:r w:rsidRPr="007E08F7">
        <w:rPr>
          <w:rFonts w:asciiTheme="minorHAnsi" w:eastAsia="Calibri" w:hAnsiTheme="minorHAnsi" w:cs="Aptos"/>
          <w:kern w:val="0"/>
          <w14:ligatures w14:val="none"/>
        </w:rPr>
        <w:t xml:space="preserve"> Hub </w:t>
      </w:r>
      <w:proofErr w:type="spellStart"/>
      <w:r w:rsidRPr="007E08F7">
        <w:rPr>
          <w:rFonts w:asciiTheme="minorHAnsi" w:eastAsia="Calibri" w:hAnsiTheme="minorHAnsi" w:cs="Aptos"/>
          <w:kern w:val="0"/>
          <w14:ligatures w14:val="none"/>
        </w:rPr>
        <w:t>Container</w:t>
      </w:r>
      <w:proofErr w:type="spellEnd"/>
      <w:r w:rsidRPr="007E08F7">
        <w:rPr>
          <w:rFonts w:asciiTheme="minorHAnsi" w:eastAsia="Calibri" w:hAnsiTheme="minorHAnsi" w:cs="Aptos"/>
          <w:kern w:val="0"/>
          <w14:ligatures w14:val="none"/>
        </w:rPr>
        <w:t xml:space="preserve"> Terminal Sp. z o.o. operujący w Porcie Gdańsk umacnia pozycję </w:t>
      </w:r>
      <w:r w:rsidRPr="007E08F7">
        <w:rPr>
          <w:rFonts w:asciiTheme="minorHAnsi" w:eastAsia="Aptos" w:hAnsiTheme="minorHAnsi"/>
          <w:kern w:val="0"/>
          <w14:ligatures w14:val="none"/>
        </w:rPr>
        <w:t xml:space="preserve">jednego z kluczowych węzłów logistycznych w regionie Morza Bałtyckiego i Europy Środkowo-Wschodniej. Ostatnie lata to okres jego intensywnego rozwoju operacyjnego i inwestycyjnego. W efekcie, </w:t>
      </w:r>
      <w:r w:rsidRPr="007E08F7">
        <w:rPr>
          <w:rFonts w:asciiTheme="minorHAnsi" w:eastAsia="Aptos" w:hAnsiTheme="minorHAnsi"/>
          <w:b/>
          <w:bCs/>
          <w:kern w:val="0"/>
          <w14:ligatures w14:val="none"/>
        </w:rPr>
        <w:t>terminal</w:t>
      </w:r>
      <w:r w:rsidRPr="007E08F7">
        <w:rPr>
          <w:rFonts w:asciiTheme="minorHAnsi" w:eastAsia="Calibri" w:hAnsiTheme="minorHAnsi" w:cs="Aptos"/>
          <w:b/>
          <w:bCs/>
          <w:kern w:val="0"/>
          <w14:ligatures w14:val="none"/>
        </w:rPr>
        <w:t xml:space="preserve"> odnotowuje rekordowe przeładunki</w:t>
      </w:r>
      <w:r w:rsidRPr="007E08F7">
        <w:rPr>
          <w:rFonts w:asciiTheme="minorHAnsi" w:eastAsia="Calibri" w:hAnsiTheme="minorHAnsi" w:cs="Aptos"/>
          <w:kern w:val="0"/>
          <w14:ligatures w14:val="none"/>
        </w:rPr>
        <w:t xml:space="preserve">. </w:t>
      </w:r>
    </w:p>
    <w:p w14:paraId="3698FE63" w14:textId="7E720CE9" w:rsidR="00E52C92" w:rsidRPr="007E08F7" w:rsidRDefault="00E52C92">
      <w:pPr>
        <w:numPr>
          <w:ilvl w:val="0"/>
          <w:numId w:val="8"/>
        </w:numPr>
        <w:spacing w:before="120" w:after="120" w:line="288" w:lineRule="auto"/>
        <w:ind w:left="360" w:hanging="425"/>
        <w:rPr>
          <w:rFonts w:asciiTheme="minorHAnsi" w:eastAsia="Calibri" w:hAnsiTheme="minorHAnsi" w:cs="Aptos"/>
          <w:kern w:val="0"/>
          <w14:ligatures w14:val="none"/>
        </w:rPr>
      </w:pPr>
      <w:r w:rsidRPr="007E08F7">
        <w:rPr>
          <w:rFonts w:asciiTheme="minorHAnsi" w:eastAsia="Calibri" w:hAnsiTheme="minorHAnsi" w:cs="Aptos"/>
          <w:kern w:val="0"/>
          <w14:ligatures w14:val="none"/>
        </w:rPr>
        <w:t>Port Gdynia obsługuje większość polskiego eksportu zbóż, a także nowoczesną bazę dla transportu drobnicowego i systemów ro-ro. W 2025 r. przeładunki kontenerów w</w:t>
      </w:r>
      <w:r w:rsidR="00150D5F" w:rsidRPr="007E08F7">
        <w:rPr>
          <w:rFonts w:asciiTheme="minorHAnsi" w:eastAsia="Calibri" w:hAnsiTheme="minorHAnsi" w:cs="Aptos"/>
          <w:kern w:val="0"/>
          <w14:ligatures w14:val="none"/>
        </w:rPr>
        <w:t> </w:t>
      </w:r>
      <w:r w:rsidRPr="007E08F7">
        <w:rPr>
          <w:rFonts w:asciiTheme="minorHAnsi" w:eastAsia="Calibri" w:hAnsiTheme="minorHAnsi" w:cs="Aptos"/>
          <w:kern w:val="0"/>
          <w14:ligatures w14:val="none"/>
        </w:rPr>
        <w:t>porcie w Gdyni po raz pierwszy w historii przekroczyły próg 1 mln TEU</w:t>
      </w:r>
      <w:r w:rsidRPr="007E08F7">
        <w:rPr>
          <w:rStyle w:val="Odwoanieprzypisudolnego"/>
          <w:rFonts w:asciiTheme="minorHAnsi" w:eastAsia="Calibri" w:hAnsiTheme="minorHAnsi" w:cs="Aptos"/>
          <w:kern w:val="0"/>
          <w14:ligatures w14:val="none"/>
        </w:rPr>
        <w:footnoteReference w:id="27"/>
      </w:r>
      <w:r w:rsidRPr="007E08F7">
        <w:rPr>
          <w:rFonts w:asciiTheme="minorHAnsi" w:eastAsia="Calibri" w:hAnsiTheme="minorHAnsi" w:cs="Aptos"/>
          <w:kern w:val="0"/>
          <w14:ligatures w14:val="none"/>
        </w:rPr>
        <w:t>. Na tak wysoki wynik przeładunków kontenerowych zapracowały równolegle dwa wyspecjalizowane podmioty: BCT (</w:t>
      </w:r>
      <w:proofErr w:type="spellStart"/>
      <w:r w:rsidRPr="007E08F7">
        <w:rPr>
          <w:rFonts w:asciiTheme="minorHAnsi" w:eastAsia="Calibri" w:hAnsiTheme="minorHAnsi" w:cs="Aptos"/>
          <w:kern w:val="0"/>
          <w14:ligatures w14:val="none"/>
        </w:rPr>
        <w:t>Baltic</w:t>
      </w:r>
      <w:proofErr w:type="spellEnd"/>
      <w:r w:rsidRPr="007E08F7">
        <w:rPr>
          <w:rFonts w:asciiTheme="minorHAnsi" w:eastAsia="Calibri" w:hAnsiTheme="minorHAnsi" w:cs="Aptos"/>
          <w:kern w:val="0"/>
          <w14:ligatures w14:val="none"/>
        </w:rPr>
        <w:t xml:space="preserve"> </w:t>
      </w:r>
      <w:proofErr w:type="spellStart"/>
      <w:r w:rsidRPr="007E08F7">
        <w:rPr>
          <w:rFonts w:asciiTheme="minorHAnsi" w:eastAsia="Calibri" w:hAnsiTheme="minorHAnsi" w:cs="Aptos"/>
          <w:kern w:val="0"/>
          <w14:ligatures w14:val="none"/>
        </w:rPr>
        <w:t>Container</w:t>
      </w:r>
      <w:proofErr w:type="spellEnd"/>
      <w:r w:rsidRPr="007E08F7">
        <w:rPr>
          <w:rFonts w:asciiTheme="minorHAnsi" w:eastAsia="Calibri" w:hAnsiTheme="minorHAnsi" w:cs="Aptos"/>
          <w:kern w:val="0"/>
          <w14:ligatures w14:val="none"/>
        </w:rPr>
        <w:t xml:space="preserve"> Terminal Sp. z o.o.) oraz GCT (Gdynia </w:t>
      </w:r>
      <w:proofErr w:type="spellStart"/>
      <w:r w:rsidRPr="007E08F7">
        <w:rPr>
          <w:rFonts w:asciiTheme="minorHAnsi" w:eastAsia="Calibri" w:hAnsiTheme="minorHAnsi" w:cs="Aptos"/>
          <w:kern w:val="0"/>
          <w14:ligatures w14:val="none"/>
        </w:rPr>
        <w:t>Container</w:t>
      </w:r>
      <w:proofErr w:type="spellEnd"/>
      <w:r w:rsidRPr="007E08F7">
        <w:rPr>
          <w:rFonts w:asciiTheme="minorHAnsi" w:eastAsia="Calibri" w:hAnsiTheme="minorHAnsi" w:cs="Aptos"/>
          <w:kern w:val="0"/>
          <w14:ligatures w14:val="none"/>
        </w:rPr>
        <w:t xml:space="preserve"> Terminal Sp. z o.o.).</w:t>
      </w:r>
    </w:p>
    <w:p w14:paraId="2663DC55" w14:textId="2C0F9CAE" w:rsidR="00E52C92" w:rsidRPr="007E08F7" w:rsidRDefault="00E52C92">
      <w:pPr>
        <w:numPr>
          <w:ilvl w:val="0"/>
          <w:numId w:val="8"/>
        </w:numPr>
        <w:spacing w:before="120" w:after="120" w:line="288" w:lineRule="auto"/>
        <w:ind w:left="425" w:hanging="425"/>
        <w:rPr>
          <w:rFonts w:asciiTheme="minorHAnsi" w:eastAsia="Aptos" w:hAnsiTheme="minorHAnsi" w:cs="Times New Roman"/>
          <w:kern w:val="0"/>
          <w14:ligatures w14:val="none"/>
        </w:rPr>
      </w:pPr>
      <w:r w:rsidRPr="007E08F7">
        <w:rPr>
          <w:rFonts w:asciiTheme="minorHAnsi" w:eastAsia="Calibri" w:hAnsiTheme="minorHAnsi" w:cs="Aptos"/>
          <w:b/>
          <w:bCs/>
          <w:kern w:val="0"/>
          <w14:ligatures w14:val="none"/>
        </w:rPr>
        <w:t>Dostępność portów do ich gospodarczego zaplecza poprawia się</w:t>
      </w:r>
      <w:r w:rsidRPr="007E08F7">
        <w:rPr>
          <w:rFonts w:asciiTheme="minorHAnsi" w:eastAsia="Calibri" w:hAnsiTheme="minorHAnsi" w:cs="Aptos"/>
          <w:kern w:val="0"/>
          <w14:ligatures w14:val="none"/>
        </w:rPr>
        <w:t xml:space="preserve"> wraz z</w:t>
      </w:r>
      <w:r w:rsidR="00150D5F" w:rsidRPr="007E08F7">
        <w:rPr>
          <w:rFonts w:asciiTheme="minorHAnsi" w:eastAsia="Calibri" w:hAnsiTheme="minorHAnsi" w:cs="Aptos"/>
          <w:kern w:val="0"/>
          <w14:ligatures w14:val="none"/>
        </w:rPr>
        <w:t> </w:t>
      </w:r>
      <w:r w:rsidRPr="007E08F7">
        <w:rPr>
          <w:rFonts w:asciiTheme="minorHAnsi" w:eastAsia="Calibri" w:hAnsiTheme="minorHAnsi" w:cs="Aptos"/>
          <w:kern w:val="0"/>
          <w14:ligatures w14:val="none"/>
        </w:rPr>
        <w:t xml:space="preserve">rozbudową infrastruktury transportowej, nadal jednak pozostaje niewystarczająca. Kluczowymi barierami są ograniczona przepustowość części układu kolejowego i drogowego, brak wykorzystania wodnego transportu śródlądowego do obsługi ładunków skonteneryzowanych oraz </w:t>
      </w:r>
      <w:r w:rsidRPr="007E08F7">
        <w:rPr>
          <w:rFonts w:asciiTheme="minorHAnsi" w:eastAsia="Aptos" w:hAnsiTheme="minorHAnsi" w:cs="Times New Roman"/>
          <w:kern w:val="0"/>
          <w14:ligatures w14:val="none"/>
        </w:rPr>
        <w:t>opóźnienia w</w:t>
      </w:r>
      <w:r w:rsidR="00150D5F" w:rsidRPr="007E08F7">
        <w:rPr>
          <w:rFonts w:asciiTheme="minorHAnsi" w:eastAsia="Aptos" w:hAnsiTheme="minorHAnsi" w:cs="Times New Roman"/>
          <w:kern w:val="0"/>
          <w14:ligatures w14:val="none"/>
        </w:rPr>
        <w:t> </w:t>
      </w:r>
      <w:r w:rsidRPr="007E08F7">
        <w:rPr>
          <w:rFonts w:asciiTheme="minorHAnsi" w:eastAsia="Aptos" w:hAnsiTheme="minorHAnsi" w:cs="Times New Roman"/>
          <w:kern w:val="0"/>
          <w14:ligatures w14:val="none"/>
        </w:rPr>
        <w:t>realizacji istotnych inwestycji.</w:t>
      </w:r>
    </w:p>
    <w:p w14:paraId="60085D7A" w14:textId="40D72484" w:rsidR="00E52C92" w:rsidRPr="007E08F7" w:rsidRDefault="00E52C92">
      <w:pPr>
        <w:numPr>
          <w:ilvl w:val="0"/>
          <w:numId w:val="8"/>
        </w:numPr>
        <w:spacing w:before="120" w:after="120" w:line="288" w:lineRule="auto"/>
        <w:ind w:left="426" w:hanging="426"/>
        <w:rPr>
          <w:rFonts w:asciiTheme="minorHAnsi" w:eastAsia="Calibri" w:hAnsiTheme="minorHAnsi" w:cs="Aptos"/>
          <w:kern w:val="0"/>
          <w14:ligatures w14:val="none"/>
        </w:rPr>
      </w:pPr>
      <w:r w:rsidRPr="007E08F7">
        <w:rPr>
          <w:rFonts w:asciiTheme="minorHAnsi" w:eastAsia="Calibri" w:hAnsiTheme="minorHAnsi" w:cs="Aptos"/>
          <w:b/>
          <w:bCs/>
          <w:kern w:val="0"/>
          <w14:ligatures w14:val="none"/>
        </w:rPr>
        <w:t xml:space="preserve">Dynamicznie </w:t>
      </w:r>
      <w:r w:rsidRPr="007E08F7">
        <w:rPr>
          <w:rFonts w:asciiTheme="minorHAnsi" w:eastAsia="Calibri" w:hAnsiTheme="minorHAnsi" w:cs="Aptos"/>
          <w:b/>
          <w:bCs/>
          <w:kern w:val="0"/>
          <w:lang w:eastAsia="pl-PL"/>
          <w14:ligatures w14:val="none"/>
        </w:rPr>
        <w:t>rozwija</w:t>
      </w:r>
      <w:r w:rsidRPr="007E08F7">
        <w:rPr>
          <w:rFonts w:asciiTheme="minorHAnsi" w:eastAsia="Calibri" w:hAnsiTheme="minorHAnsi" w:cs="Aptos"/>
          <w:b/>
          <w:bCs/>
          <w:kern w:val="0"/>
          <w14:ligatures w14:val="none"/>
        </w:rPr>
        <w:t xml:space="preserve"> się</w:t>
      </w:r>
      <w:r w:rsidRPr="007E08F7">
        <w:rPr>
          <w:rFonts w:asciiTheme="minorHAnsi" w:eastAsia="Calibri" w:hAnsiTheme="minorHAnsi" w:cs="Aptos"/>
          <w:b/>
          <w:bCs/>
          <w:kern w:val="0"/>
          <w:lang w:eastAsia="pl-PL"/>
          <w14:ligatures w14:val="none"/>
        </w:rPr>
        <w:t xml:space="preserve"> też rynek magazynowy</w:t>
      </w:r>
      <w:r w:rsidRPr="007E08F7">
        <w:rPr>
          <w:rFonts w:asciiTheme="minorHAnsi" w:eastAsia="Calibri" w:hAnsiTheme="minorHAnsi" w:cs="Aptos"/>
          <w:kern w:val="0"/>
          <w14:ligatures w14:val="none"/>
        </w:rPr>
        <w:t xml:space="preserve"> w regionie</w:t>
      </w:r>
      <w:r w:rsidRPr="007E08F7">
        <w:rPr>
          <w:rFonts w:asciiTheme="minorHAnsi" w:eastAsia="Calibri" w:hAnsiTheme="minorHAnsi" w:cs="Aptos"/>
          <w:kern w:val="0"/>
          <w:lang w:eastAsia="pl-PL"/>
          <w14:ligatures w14:val="none"/>
        </w:rPr>
        <w:t xml:space="preserve">, co wynika z potrzeb centrów logistycznych i portów morskich. </w:t>
      </w:r>
      <w:r w:rsidRPr="007E08F7">
        <w:rPr>
          <w:rFonts w:asciiTheme="minorHAnsi" w:eastAsia="Aptos" w:hAnsiTheme="minorHAnsi"/>
          <w:kern w:val="0"/>
          <w:lang w:eastAsia="pl-PL"/>
          <w14:ligatures w14:val="none"/>
        </w:rPr>
        <w:t>Rekordowe przeładunki w portach, a</w:t>
      </w:r>
      <w:r w:rsidR="00150D5F" w:rsidRPr="007E08F7">
        <w:rPr>
          <w:rFonts w:asciiTheme="minorHAnsi" w:eastAsia="Aptos" w:hAnsiTheme="minorHAnsi"/>
          <w:kern w:val="0"/>
          <w:lang w:eastAsia="pl-PL"/>
          <w14:ligatures w14:val="none"/>
        </w:rPr>
        <w:t> </w:t>
      </w:r>
      <w:r w:rsidRPr="007E08F7">
        <w:rPr>
          <w:rFonts w:asciiTheme="minorHAnsi" w:eastAsia="Aptos" w:hAnsiTheme="minorHAnsi"/>
          <w:kern w:val="0"/>
          <w:lang w:eastAsia="pl-PL"/>
          <w14:ligatures w14:val="none"/>
        </w:rPr>
        <w:t xml:space="preserve">także rozwój sektora e-commerce czy uwarunkowania geopolityczne, w tym skracanie łańcuchów dostaw, zwiększają popyt na powierzchnie magazynowe zarówno w granicach portów, jak i przy głównych korytarzach transportowych. </w:t>
      </w:r>
      <w:r w:rsidRPr="007E08F7">
        <w:rPr>
          <w:rFonts w:asciiTheme="minorHAnsi" w:eastAsia="Aptos" w:hAnsiTheme="minorHAnsi"/>
          <w:lang w:eastAsia="pl-PL"/>
        </w:rPr>
        <w:lastRenderedPageBreak/>
        <w:t xml:space="preserve">Pomorskie w 2026 r. dysponowało już niemal </w:t>
      </w:r>
      <w:r w:rsidRPr="007E08F7">
        <w:rPr>
          <w:rFonts w:asciiTheme="minorHAnsi" w:eastAsia="Calibri" w:hAnsiTheme="minorHAnsi" w:cs="Aptos"/>
        </w:rPr>
        <w:t>2,0 mln m</w:t>
      </w:r>
      <w:r w:rsidRPr="007E08F7">
        <w:rPr>
          <w:rFonts w:asciiTheme="minorHAnsi" w:eastAsia="Calibri" w:hAnsiTheme="minorHAnsi" w:cs="Aptos"/>
          <w:vertAlign w:val="superscript"/>
        </w:rPr>
        <w:t>2</w:t>
      </w:r>
      <w:r w:rsidRPr="007E08F7">
        <w:rPr>
          <w:rFonts w:asciiTheme="minorHAnsi" w:eastAsia="Calibri" w:hAnsiTheme="minorHAnsi" w:cs="Aptos"/>
        </w:rPr>
        <w:t xml:space="preserve"> powierzchni magazynowej</w:t>
      </w:r>
      <w:r w:rsidRPr="007E08F7">
        <w:rPr>
          <w:rStyle w:val="Odwoanieprzypisudolnego"/>
          <w:rFonts w:asciiTheme="minorHAnsi" w:eastAsia="Calibri" w:hAnsiTheme="minorHAnsi" w:cs="Aptos"/>
        </w:rPr>
        <w:footnoteReference w:id="28"/>
      </w:r>
      <w:r w:rsidRPr="007E08F7">
        <w:rPr>
          <w:rFonts w:asciiTheme="minorHAnsi" w:eastAsia="Calibri" w:hAnsiTheme="minorHAnsi" w:cs="Aptos"/>
        </w:rPr>
        <w:t>.</w:t>
      </w:r>
    </w:p>
    <w:p w14:paraId="3BF6FECB" w14:textId="383CB816" w:rsidR="00E52C92" w:rsidRPr="007E08F7" w:rsidRDefault="00E52C92">
      <w:pPr>
        <w:numPr>
          <w:ilvl w:val="0"/>
          <w:numId w:val="8"/>
        </w:numPr>
        <w:spacing w:before="120" w:after="120" w:line="288" w:lineRule="auto"/>
        <w:ind w:left="426" w:hanging="426"/>
        <w:rPr>
          <w:rFonts w:asciiTheme="minorHAnsi" w:eastAsia="Aptos" w:hAnsiTheme="minorHAnsi"/>
          <w:b/>
          <w:bCs/>
          <w:kern w:val="0"/>
          <w14:ligatures w14:val="none"/>
        </w:rPr>
      </w:pPr>
      <w:r w:rsidRPr="007E08F7">
        <w:rPr>
          <w:rFonts w:asciiTheme="minorHAnsi" w:eastAsia="Aptos" w:hAnsiTheme="minorHAnsi" w:cs="Times New Roman"/>
          <w:kern w:val="0"/>
          <w14:ligatures w14:val="none"/>
        </w:rPr>
        <w:t xml:space="preserve">Kluczowy element międzynarodowej dostępności regionu stanowi </w:t>
      </w:r>
      <w:r w:rsidRPr="007E08F7">
        <w:rPr>
          <w:rFonts w:asciiTheme="minorHAnsi" w:eastAsia="Calibri" w:hAnsiTheme="minorHAnsi" w:cs="Aptos"/>
          <w:kern w:val="0"/>
          <w14:ligatures w14:val="none"/>
        </w:rPr>
        <w:t xml:space="preserve">Port Lotniczy Gdańsk im. Lecha Wałęsy. Jest to </w:t>
      </w:r>
      <w:r w:rsidRPr="007E08F7">
        <w:rPr>
          <w:rFonts w:asciiTheme="minorHAnsi" w:eastAsia="Calibri" w:hAnsiTheme="minorHAnsi" w:cs="Aptos"/>
          <w:b/>
          <w:bCs/>
          <w:kern w:val="0"/>
          <w14:ligatures w14:val="none"/>
        </w:rPr>
        <w:t>trzecie</w:t>
      </w:r>
      <w:r w:rsidR="00E75137" w:rsidRPr="007E08F7">
        <w:rPr>
          <w:rFonts w:asciiTheme="minorHAnsi" w:eastAsia="Calibri" w:hAnsiTheme="minorHAnsi" w:cs="Aptos"/>
          <w:kern w:val="0"/>
          <w14:ligatures w14:val="none"/>
        </w:rPr>
        <w:t>,</w:t>
      </w:r>
      <w:r w:rsidRPr="007E08F7">
        <w:rPr>
          <w:rFonts w:asciiTheme="minorHAnsi" w:eastAsia="Calibri" w:hAnsiTheme="minorHAnsi" w:cs="Aptos"/>
          <w:kern w:val="0"/>
          <w14:ligatures w14:val="none"/>
        </w:rPr>
        <w:t xml:space="preserve"> </w:t>
      </w:r>
      <w:r w:rsidRPr="007E08F7">
        <w:rPr>
          <w:rFonts w:asciiTheme="minorHAnsi" w:eastAsia="Aptos" w:hAnsiTheme="minorHAnsi" w:cs="Times New Roman"/>
          <w:kern w:val="0"/>
          <w14:ligatures w14:val="none"/>
        </w:rPr>
        <w:t xml:space="preserve">po Lotnisku Chopina w Warszawie </w:t>
      </w:r>
      <w:r w:rsidRPr="007E08F7">
        <w:rPr>
          <w:rFonts w:asciiTheme="minorHAnsi" w:eastAsia="Calibri" w:hAnsiTheme="minorHAnsi" w:cs="Aptos"/>
          <w:kern w:val="0"/>
          <w14:ligatures w14:val="none"/>
        </w:rPr>
        <w:t>i</w:t>
      </w:r>
      <w:r w:rsidR="00150D5F" w:rsidRPr="007E08F7">
        <w:rPr>
          <w:rFonts w:asciiTheme="minorHAnsi" w:eastAsia="Calibri" w:hAnsiTheme="minorHAnsi" w:cs="Aptos"/>
          <w:kern w:val="0"/>
          <w14:ligatures w14:val="none"/>
        </w:rPr>
        <w:t> </w:t>
      </w:r>
      <w:r w:rsidRPr="007E08F7">
        <w:rPr>
          <w:rFonts w:asciiTheme="minorHAnsi" w:eastAsia="Aptos" w:hAnsiTheme="minorHAnsi" w:cs="Times New Roman"/>
          <w:kern w:val="0"/>
          <w14:ligatures w14:val="none"/>
        </w:rPr>
        <w:t>porcie lotniczym Kraków-Balice</w:t>
      </w:r>
      <w:r w:rsidR="00E75137" w:rsidRPr="007E08F7">
        <w:rPr>
          <w:rFonts w:asciiTheme="minorHAnsi" w:eastAsia="Aptos" w:hAnsiTheme="minorHAnsi" w:cs="Times New Roman"/>
          <w:kern w:val="0"/>
          <w14:ligatures w14:val="none"/>
        </w:rPr>
        <w:t>,</w:t>
      </w:r>
      <w:r w:rsidRPr="007E08F7" w:rsidDel="00D1067B">
        <w:rPr>
          <w:rFonts w:asciiTheme="minorHAnsi" w:eastAsia="Calibri" w:hAnsiTheme="minorHAnsi" w:cs="Aptos"/>
          <w:kern w:val="0"/>
          <w14:ligatures w14:val="none"/>
        </w:rPr>
        <w:t xml:space="preserve"> </w:t>
      </w:r>
      <w:r w:rsidRPr="007E08F7">
        <w:rPr>
          <w:rFonts w:asciiTheme="minorHAnsi" w:eastAsia="Calibri" w:hAnsiTheme="minorHAnsi" w:cs="Aptos"/>
          <w:b/>
          <w:bCs/>
          <w:kern w:val="0"/>
          <w14:ligatures w14:val="none"/>
        </w:rPr>
        <w:t>największe lotnisko w Polsce</w:t>
      </w:r>
      <w:r w:rsidRPr="007E08F7">
        <w:rPr>
          <w:rFonts w:asciiTheme="minorHAnsi" w:eastAsia="Calibri" w:hAnsiTheme="minorHAnsi" w:cs="Aptos"/>
          <w:kern w:val="0"/>
          <w14:ligatures w14:val="none"/>
        </w:rPr>
        <w:t xml:space="preserve"> </w:t>
      </w:r>
      <w:r w:rsidRPr="007E08F7">
        <w:rPr>
          <w:rFonts w:asciiTheme="minorHAnsi" w:eastAsia="Aptos" w:hAnsiTheme="minorHAnsi" w:cs="Times New Roman"/>
          <w:kern w:val="0"/>
          <w14:ligatures w14:val="none"/>
        </w:rPr>
        <w:t>pod względem liczby obsłużonych pasażerów</w:t>
      </w:r>
      <w:r w:rsidRPr="007E08F7">
        <w:rPr>
          <w:rFonts w:asciiTheme="minorHAnsi" w:eastAsia="Calibri" w:hAnsiTheme="minorHAnsi" w:cs="Aptos"/>
          <w:kern w:val="0"/>
          <w14:ligatures w14:val="none"/>
        </w:rPr>
        <w:t>. W 2025 r. obsłużył rekordowo, blisko 7,4 mln pasażerów, czyli ponad dwa razy więcej niż dekadę wcześniej</w:t>
      </w:r>
      <w:r w:rsidRPr="007E08F7">
        <w:rPr>
          <w:rStyle w:val="Odwoanieprzypisudolnego"/>
          <w:rFonts w:asciiTheme="minorHAnsi" w:eastAsia="Calibri" w:hAnsiTheme="minorHAnsi" w:cs="Aptos"/>
          <w:kern w:val="0"/>
          <w14:ligatures w14:val="none"/>
        </w:rPr>
        <w:footnoteReference w:id="29"/>
      </w:r>
      <w:r w:rsidRPr="007E08F7">
        <w:rPr>
          <w:rFonts w:asciiTheme="minorHAnsi" w:eastAsia="Calibri" w:hAnsiTheme="minorHAnsi" w:cs="Aptos"/>
          <w:kern w:val="0"/>
          <w14:ligatures w14:val="none"/>
        </w:rPr>
        <w:t xml:space="preserve">. </w:t>
      </w:r>
      <w:r w:rsidRPr="007E08F7">
        <w:rPr>
          <w:rFonts w:asciiTheme="minorHAnsi" w:eastAsia="Aptos" w:hAnsiTheme="minorHAnsi" w:cs="Times New Roman"/>
          <w:kern w:val="0"/>
          <w14:ligatures w14:val="none"/>
        </w:rPr>
        <w:t>Letnia siatka połączeń w 2026 r. to 105 kierunków regularnych oraz 88 kierunków czarterowych do 29 krajów</w:t>
      </w:r>
      <w:r w:rsidRPr="007E08F7">
        <w:rPr>
          <w:rFonts w:asciiTheme="minorHAnsi" w:eastAsia="Calibri" w:hAnsiTheme="minorHAnsi" w:cs="Aptos"/>
          <w:kern w:val="0"/>
          <w14:ligatures w14:val="none"/>
        </w:rPr>
        <w:t>. Do najczęściej wybieranych kierunków regularnych należą m.in.: Londyn, Oslo i Kopenhaga, a w ruchu czarterowym – Turcja, Egipt i Grecja</w:t>
      </w:r>
      <w:r w:rsidRPr="007E08F7">
        <w:rPr>
          <w:rStyle w:val="Odwoanieprzypisudolnego"/>
          <w:rFonts w:asciiTheme="minorHAnsi" w:eastAsia="Calibri" w:hAnsiTheme="minorHAnsi" w:cs="Aptos"/>
          <w:kern w:val="0"/>
          <w14:ligatures w14:val="none"/>
        </w:rPr>
        <w:footnoteReference w:id="30"/>
      </w:r>
      <w:r w:rsidRPr="007E08F7">
        <w:rPr>
          <w:rFonts w:asciiTheme="minorHAnsi" w:eastAsia="Calibri" w:hAnsiTheme="minorHAnsi" w:cs="Aptos"/>
          <w:kern w:val="0"/>
          <w14:ligatures w14:val="none"/>
        </w:rPr>
        <w:t>. Port w</w:t>
      </w:r>
      <w:r w:rsidR="00150D5F" w:rsidRPr="007E08F7">
        <w:rPr>
          <w:rFonts w:asciiTheme="minorHAnsi" w:eastAsia="Calibri" w:hAnsiTheme="minorHAnsi" w:cs="Aptos"/>
          <w:kern w:val="0"/>
          <w14:ligatures w14:val="none"/>
        </w:rPr>
        <w:t> </w:t>
      </w:r>
      <w:r w:rsidRPr="007E08F7">
        <w:rPr>
          <w:rFonts w:asciiTheme="minorHAnsi" w:eastAsia="Calibri" w:hAnsiTheme="minorHAnsi" w:cs="Aptos"/>
          <w:kern w:val="0"/>
          <w14:ligatures w14:val="none"/>
        </w:rPr>
        <w:t>Gdańsku jest również jednym z czterech kluczowych lotnisk obsługujących cargo w kraju (obok Warszawy, Katowic i Rzeszowa)</w:t>
      </w:r>
      <w:r w:rsidRPr="007E08F7">
        <w:rPr>
          <w:rStyle w:val="Odwoanieprzypisudolnego"/>
          <w:rFonts w:asciiTheme="minorHAnsi" w:eastAsia="Calibri" w:hAnsiTheme="minorHAnsi" w:cs="Aptos"/>
          <w:kern w:val="0"/>
          <w14:ligatures w14:val="none"/>
        </w:rPr>
        <w:footnoteReference w:id="31"/>
      </w:r>
      <w:r w:rsidRPr="007E08F7">
        <w:rPr>
          <w:rFonts w:asciiTheme="minorHAnsi" w:eastAsia="Calibri" w:hAnsiTheme="minorHAnsi" w:cs="Aptos"/>
          <w:kern w:val="0"/>
          <w14:ligatures w14:val="none"/>
        </w:rPr>
        <w:t>.</w:t>
      </w:r>
    </w:p>
    <w:p w14:paraId="0D9973B0" w14:textId="73060924" w:rsidR="00E52C92" w:rsidRPr="007E08F7" w:rsidRDefault="005A16F7" w:rsidP="002774ED">
      <w:pPr>
        <w:pStyle w:val="Nagwek2"/>
      </w:pPr>
      <w:bookmarkStart w:id="10" w:name="_Toc239772038"/>
      <w:r w:rsidRPr="007E08F7">
        <w:t xml:space="preserve">Sytuacja społeczna </w:t>
      </w:r>
      <w:r w:rsidR="00B64E0B" w:rsidRPr="007E08F7">
        <w:t>P</w:t>
      </w:r>
      <w:r w:rsidRPr="007E08F7">
        <w:t>omorza</w:t>
      </w:r>
      <w:bookmarkEnd w:id="10"/>
    </w:p>
    <w:p w14:paraId="52F7D46B" w14:textId="77777777" w:rsidR="00E52C92" w:rsidRPr="007E08F7" w:rsidRDefault="00E52C92" w:rsidP="00147499">
      <w:pPr>
        <w:pStyle w:val="Nagwek3"/>
        <w:rPr>
          <w:rFonts w:eastAsia="Aptos"/>
        </w:rPr>
      </w:pPr>
      <w:bookmarkStart w:id="11" w:name="_Toc239772039"/>
      <w:r w:rsidRPr="007E08F7">
        <w:rPr>
          <w:rFonts w:eastAsia="Aptos"/>
        </w:rPr>
        <w:t>Wyzwania demograficzne i starzenie się społeczeństwa</w:t>
      </w:r>
      <w:bookmarkEnd w:id="11"/>
    </w:p>
    <w:p w14:paraId="089CF088" w14:textId="77777777" w:rsidR="00E52C92" w:rsidRPr="007E08F7" w:rsidRDefault="00E52C92">
      <w:pPr>
        <w:numPr>
          <w:ilvl w:val="0"/>
          <w:numId w:val="12"/>
        </w:numPr>
        <w:spacing w:before="120" w:after="120" w:line="288" w:lineRule="auto"/>
        <w:ind w:left="426" w:hanging="426"/>
        <w:rPr>
          <w:rFonts w:eastAsia="Aptos"/>
          <w:kern w:val="0"/>
          <w14:ligatures w14:val="none"/>
        </w:rPr>
      </w:pPr>
      <w:r w:rsidRPr="007E08F7">
        <w:rPr>
          <w:rFonts w:eastAsia="Aptos"/>
          <w:b/>
          <w:bCs/>
          <w:kern w:val="0"/>
          <w14:ligatures w14:val="none"/>
        </w:rPr>
        <w:t>Sytuacja demograficzna</w:t>
      </w:r>
      <w:r w:rsidRPr="007E08F7">
        <w:rPr>
          <w:rFonts w:eastAsia="Aptos"/>
          <w:kern w:val="0"/>
          <w14:ligatures w14:val="none"/>
        </w:rPr>
        <w:t xml:space="preserve"> w województwie pozostaje </w:t>
      </w:r>
      <w:r w:rsidRPr="007E08F7">
        <w:rPr>
          <w:rFonts w:eastAsia="Aptos"/>
          <w:b/>
          <w:bCs/>
          <w:kern w:val="0"/>
          <w14:ligatures w14:val="none"/>
        </w:rPr>
        <w:t>relatywnie korzystna</w:t>
      </w:r>
      <w:r w:rsidRPr="007E08F7">
        <w:rPr>
          <w:rFonts w:eastAsia="Aptos"/>
          <w:kern w:val="0"/>
          <w14:ligatures w14:val="none"/>
        </w:rPr>
        <w:t xml:space="preserve"> </w:t>
      </w:r>
      <w:r w:rsidRPr="007E08F7">
        <w:rPr>
          <w:rFonts w:eastAsia="Aptos"/>
          <w:b/>
          <w:bCs/>
          <w:kern w:val="0"/>
          <w14:ligatures w14:val="none"/>
        </w:rPr>
        <w:t>na tle kraju</w:t>
      </w:r>
      <w:r w:rsidRPr="007E08F7">
        <w:rPr>
          <w:rFonts w:eastAsia="Aptos"/>
          <w:kern w:val="0"/>
          <w14:ligatures w14:val="none"/>
        </w:rPr>
        <w:t>,</w:t>
      </w:r>
      <w:r w:rsidRPr="007E08F7">
        <w:rPr>
          <w:rFonts w:eastAsia="Aptos" w:cs="Times New Roman"/>
          <w:kern w:val="0"/>
          <w14:ligatures w14:val="none"/>
        </w:rPr>
        <w:t xml:space="preserve"> jednak dotychczasowy </w:t>
      </w:r>
      <w:r w:rsidRPr="007E08F7">
        <w:rPr>
          <w:rFonts w:eastAsia="Aptos" w:cs="Times New Roman"/>
          <w:b/>
          <w:bCs/>
          <w:kern w:val="0"/>
          <w14:ligatures w14:val="none"/>
        </w:rPr>
        <w:t>trend wzrostu liczby ludności uległ odwróceniu</w:t>
      </w:r>
      <w:r w:rsidRPr="007E08F7">
        <w:rPr>
          <w:rFonts w:eastAsia="Aptos" w:cs="Times New Roman"/>
          <w:kern w:val="0"/>
          <w14:ligatures w14:val="none"/>
        </w:rPr>
        <w:t>.</w:t>
      </w:r>
      <w:r w:rsidRPr="007E08F7">
        <w:rPr>
          <w:rFonts w:eastAsia="Aptos"/>
          <w:kern w:val="0"/>
          <w14:ligatures w14:val="none"/>
        </w:rPr>
        <w:t xml:space="preserve"> </w:t>
      </w:r>
      <w:r w:rsidRPr="007E08F7">
        <w:rPr>
          <w:rFonts w:eastAsia="Aptos" w:cs="Times New Roman"/>
          <w:kern w:val="0"/>
          <w14:ligatures w14:val="none"/>
        </w:rPr>
        <w:t xml:space="preserve">Pomorskie przez wiele lat należało do nielicznych regionów notujących wzrost liczby mieszkańców, czemu sprzyjały </w:t>
      </w:r>
      <w:r w:rsidRPr="007E08F7">
        <w:rPr>
          <w:rFonts w:eastAsia="Aptos"/>
          <w:kern w:val="0"/>
          <w14:ligatures w14:val="none"/>
        </w:rPr>
        <w:t>atrakcyjność osiedleńcza regionu, zwłaszcza obszaru metropolitalnego oraz relatywnie korzystna struktura wieku. W 2024 i 2025 r. odnotowano jednak spadek liczby mieszkańców, choć jego skala była najmniejsza spośród województw notujących ubytek ludności.</w:t>
      </w:r>
    </w:p>
    <w:p w14:paraId="07C434DA" w14:textId="40E565C4" w:rsidR="00E52C92" w:rsidRPr="007E08F7" w:rsidRDefault="00E52C92">
      <w:pPr>
        <w:numPr>
          <w:ilvl w:val="0"/>
          <w:numId w:val="12"/>
        </w:numPr>
        <w:spacing w:before="120" w:after="120" w:line="288" w:lineRule="auto"/>
        <w:ind w:left="426" w:hanging="426"/>
        <w:rPr>
          <w:rFonts w:eastAsia="Aptos"/>
          <w:kern w:val="0"/>
          <w14:ligatures w14:val="none"/>
        </w:rPr>
      </w:pPr>
      <w:r w:rsidRPr="007E08F7">
        <w:rPr>
          <w:rFonts w:eastAsia="Aptos" w:cs="Times New Roman"/>
          <w:kern w:val="0"/>
          <w14:ligatures w14:val="none"/>
        </w:rPr>
        <w:t xml:space="preserve">Pomorskie zachowuje nadal </w:t>
      </w:r>
      <w:r w:rsidRPr="007E08F7">
        <w:rPr>
          <w:rFonts w:eastAsia="Aptos" w:cs="Times New Roman"/>
          <w:b/>
          <w:bCs/>
          <w:kern w:val="0"/>
          <w14:ligatures w14:val="none"/>
        </w:rPr>
        <w:t>najkorzystniejszą w kraju strukturę wieku</w:t>
      </w:r>
      <w:r w:rsidRPr="007E08F7">
        <w:rPr>
          <w:rFonts w:eastAsia="Aptos" w:cs="Times New Roman"/>
          <w:kern w:val="0"/>
          <w14:ligatures w14:val="none"/>
        </w:rPr>
        <w:t>: udział osób w wieku przedprodukcyjnym jest najwyższy w Polsce, a udział osób w wieku poprodukcyjnym – jeden z niższych i plasuje region na dobrym 15. miejscu wśród województw. Współczynnik obciążenia demograficznego, określający relację między liczbą osób w wieku nieprodukcyjnym a liczbą osób w wieku produkcyjnym, pozostaje niższy niż średnio w Polsce, lecz systematycznie rośnie. Oznacza to, że</w:t>
      </w:r>
      <w:r w:rsidR="0035231E" w:rsidRPr="007E08F7">
        <w:rPr>
          <w:rFonts w:eastAsia="Aptos" w:cs="Times New Roman"/>
          <w:kern w:val="0"/>
          <w14:ligatures w14:val="none"/>
        </w:rPr>
        <w:t> </w:t>
      </w:r>
      <w:r w:rsidRPr="007E08F7">
        <w:rPr>
          <w:rFonts w:eastAsia="Aptos" w:cs="Times New Roman"/>
          <w:kern w:val="0"/>
          <w14:ligatures w14:val="none"/>
        </w:rPr>
        <w:t>obecna przewaga demograficzna regionu będzie stopniowo słabnąć, jednocześnie wzrośnie presja na rynek pracy oraz system ochrony zdrowia i usług społecznych.</w:t>
      </w:r>
    </w:p>
    <w:p w14:paraId="0D2C3F74" w14:textId="77777777" w:rsidR="00E52C92" w:rsidRPr="007E08F7" w:rsidRDefault="00E52C92">
      <w:pPr>
        <w:keepLines/>
        <w:numPr>
          <w:ilvl w:val="0"/>
          <w:numId w:val="12"/>
        </w:numPr>
        <w:spacing w:before="120" w:after="120" w:line="288" w:lineRule="auto"/>
        <w:ind w:left="425" w:hanging="425"/>
        <w:rPr>
          <w:rFonts w:eastAsia="Aptos"/>
          <w:kern w:val="0"/>
          <w14:ligatures w14:val="none"/>
        </w:rPr>
      </w:pPr>
      <w:r w:rsidRPr="007E08F7">
        <w:rPr>
          <w:rFonts w:eastAsia="Aptos"/>
          <w:kern w:val="0"/>
          <w14:ligatures w14:val="none"/>
        </w:rPr>
        <w:lastRenderedPageBreak/>
        <w:t xml:space="preserve">Utrzymuje się </w:t>
      </w:r>
      <w:r w:rsidRPr="007E08F7">
        <w:rPr>
          <w:rFonts w:eastAsia="Aptos"/>
          <w:b/>
          <w:bCs/>
          <w:kern w:val="0"/>
          <w14:ligatures w14:val="none"/>
        </w:rPr>
        <w:t>wyraźny spadek dzietności</w:t>
      </w:r>
      <w:r w:rsidRPr="007E08F7">
        <w:rPr>
          <w:rFonts w:eastAsia="Aptos"/>
          <w:kern w:val="0"/>
          <w14:ligatures w14:val="none"/>
        </w:rPr>
        <w:t xml:space="preserve"> zarówno w Polsce, jak i w województwie pomorskim. Zgodnie z prognozą demograficzną do 2050 r. współczynnik dzietności w regionie może wzrosnąć w latach 40. do ok. 1,34-1,36, jednak nadal pozostanie poniżej poziomu zapewniającego zastępowalność pokoleń.</w:t>
      </w:r>
    </w:p>
    <w:p w14:paraId="758AF7B7" w14:textId="77777777" w:rsidR="00E52C92" w:rsidRPr="007E08F7" w:rsidRDefault="00E52C92">
      <w:pPr>
        <w:numPr>
          <w:ilvl w:val="0"/>
          <w:numId w:val="12"/>
        </w:numPr>
        <w:spacing w:before="120" w:after="120" w:line="288" w:lineRule="auto"/>
        <w:ind w:left="426" w:hanging="426"/>
        <w:rPr>
          <w:rFonts w:eastAsia="Aptos"/>
          <w:kern w:val="0"/>
          <w14:ligatures w14:val="none"/>
        </w:rPr>
      </w:pPr>
      <w:r w:rsidRPr="007E08F7">
        <w:rPr>
          <w:rFonts w:eastAsia="Aptos" w:cs="Times New Roman"/>
          <w:kern w:val="0"/>
          <w14:ligatures w14:val="none"/>
        </w:rPr>
        <w:t>Prognoza demograficzna GUS wskazuje również, że do 2035 r. liczba mieszkańców województwa może nieznacznie wzrosnąć. Nie będzie to jednak oznaczało poprawy sytuacji demograficznej, gdyż starzenie się ludności</w:t>
      </w:r>
      <w:r w:rsidRPr="007E08F7" w:rsidDel="00E21F77">
        <w:rPr>
          <w:rFonts w:eastAsia="Aptos" w:cs="Times New Roman"/>
          <w:kern w:val="0"/>
          <w14:ligatures w14:val="none"/>
        </w:rPr>
        <w:t xml:space="preserve"> </w:t>
      </w:r>
      <w:r w:rsidRPr="007E08F7">
        <w:rPr>
          <w:rFonts w:eastAsia="Aptos" w:cs="Times New Roman"/>
          <w:kern w:val="0"/>
          <w14:ligatures w14:val="none"/>
        </w:rPr>
        <w:t>będzie</w:t>
      </w:r>
      <w:r w:rsidRPr="007E08F7" w:rsidDel="00E21F77">
        <w:rPr>
          <w:rFonts w:eastAsia="Aptos" w:cs="Times New Roman"/>
          <w:kern w:val="0"/>
          <w14:ligatures w14:val="none"/>
        </w:rPr>
        <w:t xml:space="preserve"> </w:t>
      </w:r>
      <w:r w:rsidRPr="007E08F7">
        <w:rPr>
          <w:rFonts w:eastAsia="Aptos" w:cs="Times New Roman"/>
          <w:kern w:val="0"/>
          <w14:ligatures w14:val="none"/>
        </w:rPr>
        <w:t xml:space="preserve">nadal postępować – spadnie liczba dzieci i osób w wieku produkcyjnym, a wzrośnie populacja seniorów. </w:t>
      </w:r>
      <w:r w:rsidRPr="007E08F7">
        <w:rPr>
          <w:rFonts w:eastAsia="Aptos" w:cs="Times New Roman"/>
          <w:b/>
          <w:bCs/>
          <w:kern w:val="0"/>
          <w14:ligatures w14:val="none"/>
        </w:rPr>
        <w:t>Utrzyma się także ujemny przyrost naturalny, częściowo łagodzony przez dodatnie saldo migracji</w:t>
      </w:r>
      <w:r w:rsidRPr="007E08F7">
        <w:rPr>
          <w:rFonts w:eastAsia="Aptos" w:cs="Times New Roman"/>
          <w:kern w:val="0"/>
          <w14:ligatures w14:val="none"/>
        </w:rPr>
        <w:t>. Oznacza to, że względnie korzystna pozycja demograficzna Pomorskiego będzie coraz silniej zależała od napływu ludności, a nie od ruchu naturalnego.</w:t>
      </w:r>
    </w:p>
    <w:p w14:paraId="6F4E189F" w14:textId="77777777" w:rsidR="00E52C92" w:rsidRPr="007E08F7" w:rsidRDefault="00E52C92" w:rsidP="00147499">
      <w:pPr>
        <w:pStyle w:val="Nagwek3"/>
        <w:rPr>
          <w:rFonts w:eastAsia="Aptos"/>
        </w:rPr>
      </w:pPr>
      <w:bookmarkStart w:id="12" w:name="_Toc239772040"/>
      <w:r w:rsidRPr="007E08F7">
        <w:rPr>
          <w:rFonts w:eastAsia="Aptos"/>
        </w:rPr>
        <w:t>Migracje</w:t>
      </w:r>
      <w:bookmarkEnd w:id="12"/>
    </w:p>
    <w:p w14:paraId="22137064" w14:textId="77777777" w:rsidR="00E52C92" w:rsidRPr="007E08F7" w:rsidRDefault="00E52C92">
      <w:pPr>
        <w:numPr>
          <w:ilvl w:val="0"/>
          <w:numId w:val="12"/>
        </w:numPr>
        <w:spacing w:before="120" w:after="120" w:line="288" w:lineRule="auto"/>
        <w:ind w:left="426" w:hanging="426"/>
        <w:rPr>
          <w:rFonts w:eastAsia="Aptos"/>
          <w:kern w:val="0"/>
          <w14:ligatures w14:val="none"/>
        </w:rPr>
      </w:pPr>
      <w:r w:rsidRPr="007E08F7">
        <w:rPr>
          <w:rFonts w:eastAsia="Aptos"/>
          <w:kern w:val="0"/>
          <w14:ligatures w14:val="none"/>
        </w:rPr>
        <w:t xml:space="preserve">Pomorskie należy do regionów o </w:t>
      </w:r>
      <w:r w:rsidRPr="007E08F7">
        <w:rPr>
          <w:rFonts w:eastAsia="Aptos"/>
          <w:b/>
          <w:bCs/>
          <w:kern w:val="0"/>
          <w14:ligatures w14:val="none"/>
        </w:rPr>
        <w:t>wysokiej atrakcyjności migracyjnej</w:t>
      </w:r>
      <w:r w:rsidRPr="007E08F7">
        <w:rPr>
          <w:rFonts w:eastAsia="Aptos"/>
          <w:kern w:val="0"/>
          <w14:ligatures w14:val="none"/>
        </w:rPr>
        <w:t xml:space="preserve"> i ma drugie po Mazowszu najwyższe saldo migracji w Polsce. Przyciąga przede wszystkim mieszkańców innych regionów, ale notuje też dodatnie saldo migracji zagranicznych. Napływ ludności koncentruje się przede wszystkim na obszarach podmiejskich, zwłaszcza na obszarze aglomeracji, ubytek cechuje natomiast mniejsze miasta. </w:t>
      </w:r>
    </w:p>
    <w:p w14:paraId="5ECB8411" w14:textId="77777777" w:rsidR="00E52C92" w:rsidRPr="007E08F7" w:rsidRDefault="00E52C92">
      <w:pPr>
        <w:numPr>
          <w:ilvl w:val="0"/>
          <w:numId w:val="12"/>
        </w:numPr>
        <w:spacing w:before="120" w:after="120" w:line="288" w:lineRule="auto"/>
        <w:ind w:left="426" w:hanging="426"/>
        <w:rPr>
          <w:rFonts w:eastAsia="Aptos"/>
          <w:kern w:val="0"/>
          <w14:ligatures w14:val="none"/>
        </w:rPr>
      </w:pPr>
      <w:r w:rsidRPr="007E08F7">
        <w:rPr>
          <w:rFonts w:eastAsia="Aptos"/>
          <w:kern w:val="0"/>
          <w14:ligatures w14:val="none"/>
        </w:rPr>
        <w:t xml:space="preserve">Pomorze funkcjonuje w warunkach rosnącej </w:t>
      </w:r>
      <w:r w:rsidRPr="007E08F7">
        <w:rPr>
          <w:rFonts w:eastAsia="Aptos"/>
          <w:b/>
          <w:bCs/>
          <w:kern w:val="0"/>
          <w14:ligatures w14:val="none"/>
        </w:rPr>
        <w:t>zmienności procesów migracyjnych</w:t>
      </w:r>
      <w:r w:rsidRPr="007E08F7">
        <w:rPr>
          <w:rFonts w:eastAsia="Aptos"/>
          <w:kern w:val="0"/>
          <w14:ligatures w14:val="none"/>
        </w:rPr>
        <w:t>. Napływ i odpływ migrantów, uzależnione od sytuacji geopolitycznej oraz polityki państwa stanowią jeden z najważniejszych czynników wpływających na trendy demograficzne regionu. Napływ migrantów, zwłaszcza osób w wieku produkcyjnym nie tylko łagodzi niekorzystne trendy demograficzne, uzupełniając niedobory zasobów pracy, ale także wzmacnia potencjał rynku pracy i sprzyja spójności społecznej.</w:t>
      </w:r>
      <w:r w:rsidRPr="007E08F7">
        <w:t xml:space="preserve"> </w:t>
      </w:r>
      <w:r w:rsidRPr="007E08F7">
        <w:rPr>
          <w:rFonts w:eastAsia="Aptos"/>
          <w:kern w:val="0"/>
          <w14:ligatures w14:val="none"/>
        </w:rPr>
        <w:t xml:space="preserve">Istotna jest również rola reemigracji, czyli osób powracających do kraju, które zwiększają potencjał demograficzny regionu, a jednocześnie wzmacniają rynek pracy, dzięki zdobytym za granicą kwalifikacjom i doświadczeniu zawodowemu. </w:t>
      </w:r>
    </w:p>
    <w:p w14:paraId="409674EA" w14:textId="77777777" w:rsidR="00E52C92" w:rsidRPr="007E08F7" w:rsidRDefault="00E52C92">
      <w:pPr>
        <w:numPr>
          <w:ilvl w:val="0"/>
          <w:numId w:val="12"/>
        </w:numPr>
        <w:spacing w:before="120" w:after="120" w:line="288" w:lineRule="auto"/>
        <w:ind w:left="426" w:hanging="426"/>
        <w:rPr>
          <w:rFonts w:eastAsia="Aptos"/>
          <w:kern w:val="0"/>
          <w14:ligatures w14:val="none"/>
        </w:rPr>
      </w:pPr>
      <w:r w:rsidRPr="007E08F7">
        <w:t>Obserwuje się pozytywne skutki i</w:t>
      </w:r>
      <w:r w:rsidRPr="007E08F7">
        <w:rPr>
          <w:rFonts w:eastAsia="Aptos"/>
          <w:kern w:val="0"/>
          <w14:ligatures w14:val="none"/>
        </w:rPr>
        <w:t>ntegracji migrantów, których miarą jest ich aktywność, przedsiębiorczość i chęć stałego osiedlenia w regionie. Wymaga to przygotowania społeczeństwa i wspierania instytucji publicznych do funkcjonowania w warunkach rosnącej różnorodności. Jednocześnie rosnąca konkurencja o talenty, specjalistów i pracowników będzie w coraz większym stopniu wpływać na zdolność regionu do utrzymania dynamiki rozwoju.</w:t>
      </w:r>
    </w:p>
    <w:p w14:paraId="67100EB2" w14:textId="77777777" w:rsidR="00E52C92" w:rsidRPr="007E08F7" w:rsidRDefault="00E52C92" w:rsidP="00147499">
      <w:pPr>
        <w:pStyle w:val="Nagwek3"/>
        <w:rPr>
          <w:rFonts w:eastAsia="Aptos"/>
        </w:rPr>
      </w:pPr>
      <w:bookmarkStart w:id="13" w:name="_Toc239772041"/>
      <w:r w:rsidRPr="007E08F7">
        <w:rPr>
          <w:rFonts w:eastAsia="Aptos"/>
        </w:rPr>
        <w:lastRenderedPageBreak/>
        <w:t>Mieszkalnictwo</w:t>
      </w:r>
      <w:bookmarkEnd w:id="13"/>
      <w:r w:rsidRPr="007E08F7">
        <w:rPr>
          <w:rFonts w:eastAsia="Aptos"/>
        </w:rPr>
        <w:t xml:space="preserve"> </w:t>
      </w:r>
    </w:p>
    <w:p w14:paraId="6E10ACC3" w14:textId="4302E2E8" w:rsidR="00E52C92" w:rsidRPr="007E08F7" w:rsidRDefault="00E52C92">
      <w:pPr>
        <w:numPr>
          <w:ilvl w:val="0"/>
          <w:numId w:val="12"/>
        </w:numPr>
        <w:spacing w:before="120" w:after="120" w:line="288" w:lineRule="auto"/>
        <w:ind w:left="426" w:hanging="426"/>
        <w:rPr>
          <w:rFonts w:eastAsia="Aptos" w:cs="Aptos"/>
          <w:kern w:val="0"/>
          <w14:ligatures w14:val="none"/>
        </w:rPr>
      </w:pPr>
      <w:r w:rsidRPr="007E08F7">
        <w:rPr>
          <w:rFonts w:eastAsia="Aptos" w:cs="Aptos"/>
          <w:kern w:val="0"/>
          <w14:ligatures w14:val="none"/>
        </w:rPr>
        <w:t xml:space="preserve">Sytuacja mieszkaniowa w województwie pomorskim charakteryzuje się </w:t>
      </w:r>
      <w:r w:rsidR="00744FD9" w:rsidRPr="007E08F7">
        <w:rPr>
          <w:rFonts w:eastAsia="Aptos" w:cs="Aptos"/>
          <w:b/>
          <w:bCs/>
          <w:kern w:val="0"/>
          <w14:ligatures w14:val="none"/>
        </w:rPr>
        <w:t xml:space="preserve">dynamicznym przyrostem zasobów mieszkaniowych </w:t>
      </w:r>
      <w:r w:rsidRPr="007E08F7">
        <w:rPr>
          <w:rFonts w:eastAsia="Aptos" w:cs="Aptos"/>
          <w:kern w:val="0"/>
          <w14:ligatures w14:val="none"/>
        </w:rPr>
        <w:t xml:space="preserve">przy </w:t>
      </w:r>
      <w:r w:rsidRPr="007E08F7">
        <w:rPr>
          <w:rFonts w:eastAsia="Aptos" w:cs="Aptos"/>
          <w:b/>
          <w:bCs/>
          <w:kern w:val="0"/>
          <w14:ligatures w14:val="none"/>
        </w:rPr>
        <w:t>silnej polaryzacji przestrzennej</w:t>
      </w:r>
      <w:r w:rsidRPr="007E08F7">
        <w:rPr>
          <w:rFonts w:eastAsia="Aptos" w:cs="Aptos"/>
          <w:kern w:val="0"/>
          <w14:ligatures w14:val="none"/>
        </w:rPr>
        <w:t>. W 2024 r. ogólne zasoby mieszkaniowe regionu przekroczyły 1</w:t>
      </w:r>
      <w:r w:rsidR="0035231E" w:rsidRPr="007E08F7">
        <w:rPr>
          <w:rFonts w:eastAsia="Aptos" w:cs="Aptos"/>
          <w:kern w:val="0"/>
          <w14:ligatures w14:val="none"/>
        </w:rPr>
        <w:t> </w:t>
      </w:r>
      <w:r w:rsidRPr="007E08F7">
        <w:rPr>
          <w:rFonts w:eastAsia="Aptos" w:cs="Aptos"/>
          <w:kern w:val="0"/>
          <w14:ligatures w14:val="none"/>
        </w:rPr>
        <w:t>milion lokali, co plasuje województwo na pierwszym miejscu w kraju pod względem tempa rozwoju. Pomimo okresowych wahań koniunkturalnych, region stale wykazuje wysoką aktywność inwestycyjną. Roczna liczba mieszkań oddawanych do użytkowania oscyluje wokół 17,5 tys. lokali, generując drugi w kraju wskaźnik nasycenia na poziomie około 7,3 mieszkania na 1000 mieszkańców. Kluczową rolę odgrywa tu dominacja rynku deweloperskiego skorelowana z</w:t>
      </w:r>
      <w:r w:rsidR="0035231E" w:rsidRPr="007E08F7">
        <w:rPr>
          <w:rFonts w:eastAsia="Aptos" w:cs="Aptos"/>
          <w:kern w:val="0"/>
          <w14:ligatures w14:val="none"/>
        </w:rPr>
        <w:t> </w:t>
      </w:r>
      <w:r w:rsidRPr="007E08F7">
        <w:rPr>
          <w:rFonts w:eastAsia="Aptos" w:cs="Aptos"/>
          <w:kern w:val="0"/>
          <w14:ligatures w14:val="none"/>
        </w:rPr>
        <w:t xml:space="preserve">procesami </w:t>
      </w:r>
      <w:proofErr w:type="spellStart"/>
      <w:r w:rsidRPr="007E08F7">
        <w:rPr>
          <w:rFonts w:eastAsia="Aptos" w:cs="Aptos"/>
          <w:kern w:val="0"/>
          <w14:ligatures w14:val="none"/>
        </w:rPr>
        <w:t>suburbanizacji</w:t>
      </w:r>
      <w:proofErr w:type="spellEnd"/>
      <w:r w:rsidRPr="007E08F7">
        <w:rPr>
          <w:rFonts w:eastAsia="Aptos" w:cs="Aptos"/>
          <w:kern w:val="0"/>
          <w14:ligatures w14:val="none"/>
        </w:rPr>
        <w:t xml:space="preserve"> i metropolizacji.</w:t>
      </w:r>
    </w:p>
    <w:p w14:paraId="10C0967A" w14:textId="40B19DF7" w:rsidR="00E52C92" w:rsidRPr="007E08F7" w:rsidRDefault="00E52C92">
      <w:pPr>
        <w:numPr>
          <w:ilvl w:val="0"/>
          <w:numId w:val="12"/>
        </w:numPr>
        <w:spacing w:before="120" w:after="120" w:line="288" w:lineRule="auto"/>
        <w:ind w:left="426" w:hanging="426"/>
        <w:rPr>
          <w:rFonts w:eastAsia="Aptos" w:cs="Aptos"/>
          <w:kern w:val="0"/>
          <w14:ligatures w14:val="none"/>
        </w:rPr>
      </w:pPr>
      <w:r w:rsidRPr="007E08F7">
        <w:t xml:space="preserve">Mimo wysokiej na tle kraju aktywności inwestycyjnej w sektorze mieszkaniowym, Pomorskie cechuje </w:t>
      </w:r>
      <w:r w:rsidRPr="007E08F7">
        <w:rPr>
          <w:b/>
          <w:bCs/>
        </w:rPr>
        <w:t xml:space="preserve">ograniczona dostępność mieszkań </w:t>
      </w:r>
      <w:r w:rsidRPr="007E08F7">
        <w:t>dla</w:t>
      </w:r>
      <w:r w:rsidRPr="007E08F7">
        <w:rPr>
          <w:b/>
          <w:bCs/>
        </w:rPr>
        <w:t xml:space="preserve"> osób będących w luce czynszowej</w:t>
      </w:r>
      <w:r w:rsidRPr="007E08F7">
        <w:rPr>
          <w:rStyle w:val="Odwoanieprzypisudolnego"/>
        </w:rPr>
        <w:footnoteReference w:id="32"/>
      </w:r>
      <w:r w:rsidRPr="007E08F7">
        <w:t>.</w:t>
      </w:r>
      <w:r w:rsidRPr="007E08F7">
        <w:rPr>
          <w:rFonts w:eastAsia="Aptos" w:cs="Aptos"/>
          <w:kern w:val="0"/>
          <w14:ligatures w14:val="none"/>
        </w:rPr>
        <w:t xml:space="preserve"> </w:t>
      </w:r>
      <w:r w:rsidRPr="007E08F7">
        <w:rPr>
          <w:rFonts w:eastAsia="Aptos"/>
          <w:kern w:val="0"/>
          <w14:ligatures w14:val="none"/>
        </w:rPr>
        <w:t xml:space="preserve">W okresie ostatnich dwóch dekad, </w:t>
      </w:r>
      <w:r w:rsidRPr="007E08F7">
        <w:rPr>
          <w:rFonts w:eastAsia="Aptos" w:cs="Aptos"/>
          <w:kern w:val="0"/>
          <w14:ligatures w14:val="none"/>
        </w:rPr>
        <w:t xml:space="preserve">w regionie odnotowano </w:t>
      </w:r>
      <w:r w:rsidRPr="007E08F7">
        <w:rPr>
          <w:rFonts w:eastAsia="Aptos" w:cs="Aptos"/>
          <w:b/>
          <w:bCs/>
          <w:kern w:val="0"/>
          <w14:ligatures w14:val="none"/>
        </w:rPr>
        <w:t>najwyższą w kraju dynamikę wzrostu cen mieszkań</w:t>
      </w:r>
      <w:r w:rsidRPr="007E08F7">
        <w:rPr>
          <w:rStyle w:val="Odwoanieprzypisudolnego"/>
          <w:rFonts w:eastAsia="Aptos" w:cs="Aptos"/>
          <w:kern w:val="0"/>
          <w14:ligatures w14:val="none"/>
        </w:rPr>
        <w:footnoteReference w:id="33"/>
      </w:r>
      <w:r w:rsidRPr="007E08F7">
        <w:rPr>
          <w:rFonts w:eastAsia="Aptos" w:cs="Aptos"/>
          <w:kern w:val="0"/>
          <w14:ligatures w14:val="none"/>
        </w:rPr>
        <w:t xml:space="preserve"> – ich poziom wzrósł p</w:t>
      </w:r>
      <w:r w:rsidRPr="007E08F7">
        <w:rPr>
          <w:rFonts w:eastAsia="Aptos" w:cs="Times New Roman"/>
          <w:kern w:val="0"/>
          <w14:ligatures w14:val="none"/>
        </w:rPr>
        <w:t>onad dziewięciokrotnie, wobec sześciokrotnego wzrostu średnio w Polsce. W tym samym okresie przeciętne wynagrodzenie wzrosło ok. 3,5-krotnie</w:t>
      </w:r>
      <w:r w:rsidRPr="007E08F7">
        <w:rPr>
          <w:rFonts w:eastAsia="Aptos" w:cs="Aptos"/>
          <w:kern w:val="0"/>
          <w14:ligatures w14:val="none"/>
        </w:rPr>
        <w:t>, zarówno w regionie jak i</w:t>
      </w:r>
      <w:r w:rsidR="0035231E" w:rsidRPr="007E08F7">
        <w:rPr>
          <w:rFonts w:eastAsia="Aptos" w:cs="Aptos"/>
          <w:kern w:val="0"/>
          <w14:ligatures w14:val="none"/>
        </w:rPr>
        <w:t> </w:t>
      </w:r>
      <w:r w:rsidRPr="007E08F7">
        <w:rPr>
          <w:rFonts w:eastAsia="Aptos" w:cs="Aptos"/>
          <w:kern w:val="0"/>
          <w14:ligatures w14:val="none"/>
        </w:rPr>
        <w:t>średnio w kraju. W rezultacie, dostępność mieszkań wyraźnie się pogorszyła, a</w:t>
      </w:r>
      <w:r w:rsidR="0035231E" w:rsidRPr="007E08F7">
        <w:rPr>
          <w:rFonts w:eastAsia="Aptos" w:cs="Aptos"/>
          <w:kern w:val="0"/>
          <w14:ligatures w14:val="none"/>
        </w:rPr>
        <w:t> </w:t>
      </w:r>
      <w:r w:rsidRPr="007E08F7">
        <w:rPr>
          <w:rFonts w:eastAsia="Aptos" w:cs="Aptos"/>
          <w:kern w:val="0"/>
          <w14:ligatures w14:val="none"/>
        </w:rPr>
        <w:t xml:space="preserve">Pomorskie stało się trzecim, najdroższym regionem w Polsce pod względem cen zakupu mieszkań (po mazowieckim i małopolskim). </w:t>
      </w:r>
      <w:r w:rsidRPr="007E08F7">
        <w:rPr>
          <w:rFonts w:eastAsia="Aptos" w:cs="Times New Roman"/>
          <w:kern w:val="0"/>
          <w14:ligatures w14:val="none"/>
        </w:rPr>
        <w:t>Wysokie koszty zakupu i najmu, a także ograniczona oferta mieszkaniowa w mniejszych miastach, utrudniają stabilizację życiową, wpływając na decyzje migracyjne oraz dzietność.</w:t>
      </w:r>
    </w:p>
    <w:p w14:paraId="47596D82" w14:textId="71B628DB" w:rsidR="00E52C92" w:rsidRPr="007E08F7" w:rsidRDefault="00E52C92">
      <w:pPr>
        <w:numPr>
          <w:ilvl w:val="0"/>
          <w:numId w:val="12"/>
        </w:numPr>
        <w:spacing w:before="120" w:after="120" w:line="288" w:lineRule="auto"/>
        <w:ind w:left="425" w:hanging="425"/>
        <w:rPr>
          <w:rFonts w:eastAsia="Aptos"/>
          <w:kern w:val="0"/>
          <w14:ligatures w14:val="none"/>
        </w:rPr>
      </w:pPr>
      <w:r w:rsidRPr="007E08F7">
        <w:rPr>
          <w:rFonts w:eastAsia="Aptos" w:cs="Aptos"/>
          <w:kern w:val="0"/>
          <w14:ligatures w14:val="none"/>
        </w:rPr>
        <w:t xml:space="preserve">W regionie </w:t>
      </w:r>
      <w:r w:rsidRPr="007E08F7">
        <w:rPr>
          <w:rFonts w:eastAsia="Aptos" w:cs="Aptos"/>
          <w:b/>
          <w:bCs/>
          <w:kern w:val="0"/>
          <w14:ligatures w14:val="none"/>
        </w:rPr>
        <w:t>maleje udział zasobów mieszkaniowych komunalnych i społecznych</w:t>
      </w:r>
      <w:r w:rsidRPr="007E08F7">
        <w:rPr>
          <w:rFonts w:eastAsia="Aptos" w:cs="Aptos"/>
          <w:kern w:val="0"/>
          <w14:ligatures w14:val="none"/>
        </w:rPr>
        <w:t xml:space="preserve"> (TBS, SIM</w:t>
      </w:r>
      <w:r w:rsidRPr="007E08F7">
        <w:rPr>
          <w:rStyle w:val="Odwoanieprzypisudolnego"/>
          <w:rFonts w:eastAsia="Aptos" w:cs="Aptos"/>
          <w:kern w:val="0"/>
          <w14:ligatures w14:val="none"/>
        </w:rPr>
        <w:footnoteReference w:id="34"/>
      </w:r>
      <w:r w:rsidRPr="007E08F7">
        <w:rPr>
          <w:rFonts w:eastAsia="Aptos" w:cs="Aptos"/>
          <w:kern w:val="0"/>
          <w14:ligatures w14:val="none"/>
        </w:rPr>
        <w:t xml:space="preserve">), na rzecz zasobów pozostających w posiadaniu osób fizycznych. Jednocześnie </w:t>
      </w:r>
      <w:r w:rsidRPr="007E08F7">
        <w:rPr>
          <w:rFonts w:eastAsia="Aptos" w:cs="Aptos"/>
          <w:b/>
          <w:bCs/>
          <w:kern w:val="0"/>
          <w14:ligatures w14:val="none"/>
        </w:rPr>
        <w:t>szybko rośnie liczba</w:t>
      </w:r>
      <w:r w:rsidRPr="007E08F7">
        <w:rPr>
          <w:rFonts w:eastAsia="Aptos" w:cs="Times New Roman"/>
          <w:b/>
          <w:bCs/>
          <w:kern w:val="0"/>
          <w14:ligatures w14:val="none"/>
        </w:rPr>
        <w:t xml:space="preserve"> </w:t>
      </w:r>
      <w:r w:rsidRPr="007E08F7">
        <w:rPr>
          <w:rFonts w:eastAsia="Aptos" w:cs="Aptos"/>
          <w:b/>
          <w:bCs/>
          <w:kern w:val="0"/>
          <w14:ligatures w14:val="none"/>
        </w:rPr>
        <w:t>pustostanów</w:t>
      </w:r>
      <w:r w:rsidRPr="007E08F7">
        <w:rPr>
          <w:rFonts w:eastAsia="Aptos" w:cs="Aptos"/>
          <w:kern w:val="0"/>
          <w14:ligatures w14:val="none"/>
        </w:rPr>
        <w:t xml:space="preserve"> będących w zasobach komunalnych (druga w kraju dynamika wzrostu), z których znaczna część mogłaby zostać ponownie wykorzystana na cele mieszkaniowe, ale wymaga remontu. </w:t>
      </w:r>
      <w:r w:rsidRPr="007E08F7">
        <w:rPr>
          <w:rFonts w:eastAsia="Aptos" w:cs="Times New Roman"/>
          <w:kern w:val="0"/>
          <w14:ligatures w14:val="none"/>
        </w:rPr>
        <w:t>Wskazuje to na potrzebę zarówno rozwoju dostępnego mieszkalnictwa, jak i</w:t>
      </w:r>
      <w:r w:rsidR="0035231E" w:rsidRPr="007E08F7">
        <w:rPr>
          <w:rFonts w:eastAsia="Aptos" w:cs="Times New Roman"/>
          <w:kern w:val="0"/>
          <w14:ligatures w14:val="none"/>
        </w:rPr>
        <w:t> </w:t>
      </w:r>
      <w:r w:rsidRPr="007E08F7">
        <w:rPr>
          <w:rFonts w:eastAsia="Aptos" w:cs="Times New Roman"/>
          <w:kern w:val="0"/>
          <w14:ligatures w14:val="none"/>
        </w:rPr>
        <w:t>skuteczniejszego wykorzystania istniejącego zasobu.</w:t>
      </w:r>
    </w:p>
    <w:p w14:paraId="4CCAEDFD" w14:textId="77777777" w:rsidR="00E52C92" w:rsidRPr="007E08F7" w:rsidRDefault="00E52C92" w:rsidP="00147499">
      <w:pPr>
        <w:pStyle w:val="Nagwek3"/>
        <w:rPr>
          <w:rFonts w:eastAsia="Aptos"/>
        </w:rPr>
      </w:pPr>
      <w:bookmarkStart w:id="14" w:name="_Toc239772042"/>
      <w:r w:rsidRPr="007E08F7">
        <w:rPr>
          <w:rFonts w:eastAsia="Aptos"/>
        </w:rPr>
        <w:lastRenderedPageBreak/>
        <w:t>Usługi zdrowotne i społeczne</w:t>
      </w:r>
      <w:bookmarkEnd w:id="14"/>
    </w:p>
    <w:p w14:paraId="2018F3FB" w14:textId="77777777" w:rsidR="00E52C92" w:rsidRPr="007E08F7" w:rsidRDefault="00E52C92">
      <w:pPr>
        <w:keepNext/>
        <w:keepLines/>
        <w:numPr>
          <w:ilvl w:val="0"/>
          <w:numId w:val="13"/>
        </w:numPr>
        <w:spacing w:before="120" w:after="120" w:line="288" w:lineRule="auto"/>
        <w:ind w:left="426" w:hanging="426"/>
        <w:rPr>
          <w:rFonts w:eastAsia="Times New Roman" w:cs="Aptos"/>
          <w:bCs/>
          <w:spacing w:val="-2"/>
          <w:kern w:val="0"/>
          <w14:ligatures w14:val="none"/>
        </w:rPr>
      </w:pPr>
      <w:r w:rsidRPr="007E08F7">
        <w:rPr>
          <w:rFonts w:eastAsia="Aptos"/>
          <w:b/>
          <w:bCs/>
          <w:kern w:val="0"/>
          <w14:ligatures w14:val="none"/>
        </w:rPr>
        <w:t>Pomorzanie coraz dłużej żyją w zdrowiu</w:t>
      </w:r>
      <w:r w:rsidRPr="007E08F7">
        <w:rPr>
          <w:rFonts w:eastAsia="Aptos"/>
          <w:kern w:val="0"/>
          <w14:ligatures w14:val="none"/>
        </w:rPr>
        <w:t>. Liczba lat życia w zdrowiu, rozumiana jako przewidywana średnia liczba lat do przeżycia bez niepełnosprawności, wynosi niemal 62 lata w przypadku mężczyzn oraz ponad 65 lat w przypadku kobiet. W obu przypadkach są to wyniki zbliżone do średnich dla kraju.</w:t>
      </w:r>
    </w:p>
    <w:p w14:paraId="78549B54" w14:textId="26CCC507" w:rsidR="00E52C92" w:rsidRPr="007E08F7" w:rsidRDefault="00E52C92">
      <w:pPr>
        <w:numPr>
          <w:ilvl w:val="0"/>
          <w:numId w:val="13"/>
        </w:numPr>
        <w:spacing w:before="120" w:after="120" w:line="288" w:lineRule="auto"/>
        <w:ind w:left="426" w:hanging="426"/>
        <w:rPr>
          <w:rFonts w:eastAsia="Times New Roman" w:cs="Aptos"/>
          <w:bCs/>
          <w:spacing w:val="-2"/>
          <w:kern w:val="0"/>
          <w14:ligatures w14:val="none"/>
        </w:rPr>
      </w:pPr>
      <w:r w:rsidRPr="007E08F7">
        <w:rPr>
          <w:rFonts w:eastAsia="Times New Roman" w:cs="Aptos"/>
          <w:bCs/>
          <w:spacing w:val="-2"/>
          <w:kern w:val="0"/>
          <w14:ligatures w14:val="none"/>
        </w:rPr>
        <w:t xml:space="preserve">Najważniejszymi czynnikami wpływającymi na stan zdrowia Pomorzan pozostają </w:t>
      </w:r>
      <w:r w:rsidRPr="007E08F7">
        <w:rPr>
          <w:rFonts w:eastAsia="Times New Roman" w:cs="Aptos"/>
          <w:b/>
          <w:spacing w:val="-2"/>
          <w:kern w:val="0"/>
          <w14:ligatures w14:val="none"/>
        </w:rPr>
        <w:t>choroby cywilizacyjne</w:t>
      </w:r>
      <w:r w:rsidRPr="007E08F7">
        <w:rPr>
          <w:rFonts w:eastAsia="Times New Roman" w:cs="Aptos"/>
          <w:bCs/>
          <w:spacing w:val="-2"/>
          <w:kern w:val="0"/>
          <w14:ligatures w14:val="none"/>
        </w:rPr>
        <w:t xml:space="preserve">, </w:t>
      </w:r>
      <w:r w:rsidRPr="007E08F7">
        <w:rPr>
          <w:rFonts w:eastAsia="Aptos" w:cs="Times New Roman"/>
          <w:kern w:val="0"/>
          <w14:ligatures w14:val="none"/>
        </w:rPr>
        <w:t>przede wszystkim choroby układu krążenia i nowotwory</w:t>
      </w:r>
      <w:r w:rsidRPr="007E08F7">
        <w:rPr>
          <w:rFonts w:eastAsia="Times New Roman" w:cs="Aptos"/>
          <w:bCs/>
          <w:spacing w:val="-2"/>
          <w:kern w:val="0"/>
          <w14:ligatures w14:val="none"/>
        </w:rPr>
        <w:t xml:space="preserve">. </w:t>
      </w:r>
      <w:r w:rsidRPr="007E08F7">
        <w:rPr>
          <w:rFonts w:eastAsia="Aptos" w:cs="Times New Roman"/>
          <w:kern w:val="0"/>
          <w14:ligatures w14:val="none"/>
        </w:rPr>
        <w:t>Choć w ostatniej dekadzie zmniejszył się udział zgonów powodowanych przez te choroby, nadal odpowiadają one za zdecydowaną większość wszystkich zgonów. Szczególnie istotnym wyzwaniem pozostają nowotwory – ich udział w strukturze zgonów należy do najwyższych w kraju. Pomorskie zalicza się do województw o</w:t>
      </w:r>
      <w:r w:rsidR="0035231E" w:rsidRPr="007E08F7">
        <w:rPr>
          <w:rFonts w:eastAsia="Aptos" w:cs="Times New Roman"/>
          <w:kern w:val="0"/>
          <w14:ligatures w14:val="none"/>
        </w:rPr>
        <w:t> </w:t>
      </w:r>
      <w:r w:rsidRPr="007E08F7">
        <w:rPr>
          <w:rFonts w:eastAsia="Aptos" w:cs="Times New Roman"/>
          <w:kern w:val="0"/>
          <w14:ligatures w14:val="none"/>
        </w:rPr>
        <w:t>wysokiej zachorowalności na nowotwory złośliwe, zarówno wśród kobiet, jak i</w:t>
      </w:r>
      <w:r w:rsidR="0035231E" w:rsidRPr="007E08F7">
        <w:rPr>
          <w:rFonts w:eastAsia="Aptos" w:cs="Times New Roman"/>
          <w:kern w:val="0"/>
          <w14:ligatures w14:val="none"/>
        </w:rPr>
        <w:t> </w:t>
      </w:r>
      <w:r w:rsidRPr="007E08F7">
        <w:rPr>
          <w:rFonts w:eastAsia="Aptos" w:cs="Times New Roman"/>
          <w:kern w:val="0"/>
          <w14:ligatures w14:val="none"/>
        </w:rPr>
        <w:t>mężczyzn</w:t>
      </w:r>
      <w:r w:rsidRPr="007E08F7">
        <w:rPr>
          <w:rFonts w:eastAsia="Times New Roman" w:cs="Aptos"/>
          <w:bCs/>
          <w:spacing w:val="-2"/>
          <w:kern w:val="0"/>
          <w14:ligatures w14:val="none"/>
        </w:rPr>
        <w:t>. Coraz częstszą przyczyną zgonów są choroby układu oddechowego oraz cukrzyca, a wyższe niż przeciętnie w Polsce wskaźniki dotyczą również zaburzeń psychicznych i zaburzeń zachowania.</w:t>
      </w:r>
    </w:p>
    <w:p w14:paraId="60D7D9BA" w14:textId="77777777"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 xml:space="preserve">Choroby cywilizacyjne i przewlekłe oraz ich konsekwencje stanowią istotne wyzwanie dla systemu ochrony zdrowia. </w:t>
      </w:r>
      <w:r w:rsidRPr="007E08F7">
        <w:rPr>
          <w:rFonts w:eastAsia="Aptos"/>
          <w:b/>
          <w:bCs/>
          <w:kern w:val="0"/>
          <w14:ligatures w14:val="none"/>
        </w:rPr>
        <w:t>Poziom świadomości prozdrowotnej</w:t>
      </w:r>
      <w:r w:rsidRPr="007E08F7">
        <w:rPr>
          <w:rFonts w:eastAsia="Aptos"/>
          <w:kern w:val="0"/>
          <w14:ligatures w14:val="none"/>
        </w:rPr>
        <w:t xml:space="preserve"> mieszkańców, a także zdolność systemu w zakresie utrzymania zdrowia, zapewnienia szybkiej diagnostyki, skutecznego leczenia i przywracania sprawności pacjentów jest nadal niewystarczająca. Działania w obszarze promocji zdrowia, edukacji zdrowotnej, profilaktyki, diagnostyki oraz rehabilitacji pozostają ograniczone. W warunkach zmniejszonego przyrostu naturalnego oraz coraz późniejszego wieku, w którym podejmowana jest decyzja o rodzicielstwie, wzrasta rola wsparcia mieszkańców w zakresie zdrowia prokreacyjnego i opieki okołoporodowej, a także opieki zdrowotnej we wczesnym okresie życia dziecka. </w:t>
      </w:r>
    </w:p>
    <w:p w14:paraId="53C8AA48" w14:textId="5A1FF7FF"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 xml:space="preserve">Równolegle narasta </w:t>
      </w:r>
      <w:r w:rsidRPr="007E08F7">
        <w:rPr>
          <w:rFonts w:eastAsia="Aptos"/>
          <w:b/>
          <w:bCs/>
          <w:kern w:val="0"/>
          <w14:ligatures w14:val="none"/>
        </w:rPr>
        <w:t>kryzys zdrowia psychicznego</w:t>
      </w:r>
      <w:r w:rsidRPr="007E08F7">
        <w:rPr>
          <w:rFonts w:eastAsia="Aptos"/>
          <w:kern w:val="0"/>
          <w14:ligatures w14:val="none"/>
        </w:rPr>
        <w:t xml:space="preserve">. </w:t>
      </w:r>
      <w:r w:rsidRPr="007E08F7">
        <w:rPr>
          <w:rFonts w:eastAsia="Times New Roman" w:cs="Aptos"/>
          <w:bCs/>
          <w:kern w:val="0"/>
          <w14:ligatures w14:val="none"/>
        </w:rPr>
        <w:t>Na Pomorzu, podobnie jak w</w:t>
      </w:r>
      <w:r w:rsidR="0035231E" w:rsidRPr="007E08F7">
        <w:rPr>
          <w:rFonts w:eastAsia="Times New Roman" w:cs="Aptos"/>
          <w:bCs/>
          <w:kern w:val="0"/>
          <w14:ligatures w14:val="none"/>
        </w:rPr>
        <w:t> </w:t>
      </w:r>
      <w:r w:rsidRPr="007E08F7">
        <w:rPr>
          <w:rFonts w:eastAsia="Times New Roman" w:cs="Aptos"/>
          <w:bCs/>
          <w:kern w:val="0"/>
          <w14:ligatures w14:val="none"/>
        </w:rPr>
        <w:t>Polsce, w ostatnich latach zauważalnie wzrosła liczba osób leczonych w</w:t>
      </w:r>
      <w:r w:rsidR="0035231E" w:rsidRPr="007E08F7">
        <w:rPr>
          <w:rFonts w:eastAsia="Times New Roman" w:cs="Aptos"/>
          <w:bCs/>
          <w:kern w:val="0"/>
          <w14:ligatures w14:val="none"/>
        </w:rPr>
        <w:t> </w:t>
      </w:r>
      <w:r w:rsidRPr="007E08F7">
        <w:rPr>
          <w:rFonts w:eastAsia="Times New Roman" w:cs="Aptos"/>
          <w:bCs/>
          <w:kern w:val="0"/>
          <w14:ligatures w14:val="none"/>
        </w:rPr>
        <w:t xml:space="preserve">poradniach zdrowia psychicznego, odwykowych oraz profilaktyki i rehabilitacji osób uzależnionych od substancji psychoaktywnych. </w:t>
      </w:r>
      <w:r w:rsidRPr="007E08F7">
        <w:rPr>
          <w:rFonts w:eastAsia="Aptos"/>
          <w:kern w:val="0"/>
          <w14:ligatures w14:val="none"/>
        </w:rPr>
        <w:t>Zgodnie z analizami Ministerstwa Zdrowia, zapadalność na choroby psychiczne w województwie pomorskim do 2035 r. będzie rosła</w:t>
      </w:r>
      <w:r w:rsidRPr="007E08F7">
        <w:rPr>
          <w:rStyle w:val="Odwoanieprzypisudolnego"/>
          <w:rFonts w:eastAsia="Aptos"/>
          <w:kern w:val="0"/>
          <w14:ligatures w14:val="none"/>
        </w:rPr>
        <w:footnoteReference w:id="35"/>
      </w:r>
      <w:r w:rsidRPr="007E08F7">
        <w:rPr>
          <w:rFonts w:eastAsia="Aptos"/>
          <w:kern w:val="0"/>
          <w14:ligatures w14:val="none"/>
        </w:rPr>
        <w:t>. W tym kontekście</w:t>
      </w:r>
      <w:r w:rsidR="003C4E80" w:rsidRPr="007E08F7">
        <w:rPr>
          <w:rFonts w:eastAsia="Aptos"/>
          <w:kern w:val="0"/>
          <w14:ligatures w14:val="none"/>
        </w:rPr>
        <w:t>,</w:t>
      </w:r>
      <w:r w:rsidRPr="007E08F7">
        <w:rPr>
          <w:rFonts w:eastAsia="Aptos"/>
          <w:kern w:val="0"/>
          <w14:ligatures w14:val="none"/>
        </w:rPr>
        <w:t xml:space="preserve"> sieć Centrów Zdrowia Psychicznego jest niewystarczająco rozwinięta, zarówno w wymiarze terytorialnym, jak i kompetencyjnym. Rosnąca skala problemów emocjonalnych i psychicznych coraz częściej przekracza możliwości obecnego systemu wsparcia, który pozostaje niewystarczająco dostępny i zbyt słabo integruje ochronę zdrowia, wsparcie społecznie i system edukacji.</w:t>
      </w:r>
    </w:p>
    <w:p w14:paraId="543973B5" w14:textId="394E78A9" w:rsidR="00E52C92" w:rsidRPr="007E08F7" w:rsidRDefault="00E52C92">
      <w:pPr>
        <w:numPr>
          <w:ilvl w:val="0"/>
          <w:numId w:val="13"/>
        </w:numPr>
        <w:spacing w:before="120" w:after="120" w:line="288" w:lineRule="auto"/>
        <w:ind w:left="426" w:hanging="426"/>
        <w:rPr>
          <w:rFonts w:eastAsia="Aptos"/>
          <w:kern w:val="0"/>
          <w14:ligatures w14:val="none"/>
        </w:rPr>
      </w:pPr>
      <w:r w:rsidRPr="007E08F7">
        <w:rPr>
          <w:b/>
          <w:bCs/>
        </w:rPr>
        <w:lastRenderedPageBreak/>
        <w:t xml:space="preserve">Dostępność podstawowej opieki zdrowotnej </w:t>
      </w:r>
      <w:r w:rsidRPr="007E08F7">
        <w:t>kształtuje się</w:t>
      </w:r>
      <w:r w:rsidRPr="007E08F7">
        <w:rPr>
          <w:b/>
          <w:bCs/>
        </w:rPr>
        <w:t xml:space="preserve"> poniżej średniej w</w:t>
      </w:r>
      <w:r w:rsidR="0035231E" w:rsidRPr="007E08F7">
        <w:rPr>
          <w:b/>
          <w:bCs/>
        </w:rPr>
        <w:t> </w:t>
      </w:r>
      <w:r w:rsidRPr="007E08F7">
        <w:rPr>
          <w:b/>
          <w:bCs/>
        </w:rPr>
        <w:t>kraju</w:t>
      </w:r>
      <w:r w:rsidRPr="007E08F7">
        <w:t>. Pod względem liczby ośrodków udzielających świadczeń podstawowej opieki zdrowotnej</w:t>
      </w:r>
      <w:r w:rsidR="003C4E80" w:rsidRPr="007E08F7">
        <w:t>,</w:t>
      </w:r>
      <w:r w:rsidRPr="007E08F7">
        <w:t xml:space="preserve"> w odniesieniu do liczby mieszkańców</w:t>
      </w:r>
      <w:r w:rsidR="003C4E80" w:rsidRPr="007E08F7">
        <w:t>,</w:t>
      </w:r>
      <w:r w:rsidRPr="007E08F7">
        <w:t xml:space="preserve"> Pomorskie zajmuje odległe, 15. miejsce wśród województw. Niekorzystnie wypada również pod względem liczby udzielanych świadczeń na 1 osobę (12. pozycja)</w:t>
      </w:r>
      <w:r w:rsidRPr="007E08F7">
        <w:rPr>
          <w:rStyle w:val="Odwoanieprzypisudolnego"/>
        </w:rPr>
        <w:footnoteReference w:id="36"/>
      </w:r>
      <w:r w:rsidRPr="007E08F7">
        <w:t>.</w:t>
      </w:r>
    </w:p>
    <w:p w14:paraId="3B18C1A4" w14:textId="0B315F39"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Liczba poradni ambulatoryjnej opieki specjalistycznej</w:t>
      </w:r>
      <w:r w:rsidR="003C4E80" w:rsidRPr="007E08F7">
        <w:rPr>
          <w:rFonts w:eastAsia="Aptos"/>
          <w:kern w:val="0"/>
          <w14:ligatures w14:val="none"/>
        </w:rPr>
        <w:t>,</w:t>
      </w:r>
      <w:r w:rsidRPr="007E08F7">
        <w:rPr>
          <w:rFonts w:eastAsia="Aptos"/>
          <w:kern w:val="0"/>
          <w14:ligatures w14:val="none"/>
        </w:rPr>
        <w:t xml:space="preserve"> w przeliczeniu na liczbę ludności, mimo wyraźnej poprawy, nadal jest najniższa w kraju. Z kolei pod względem liczby udzielanych porad w przeliczeniu na liczbę mieszkańców województwo zajmuje 7. miejsce w Polsce</w:t>
      </w:r>
      <w:r w:rsidRPr="007E08F7">
        <w:rPr>
          <w:rStyle w:val="Odwoanieprzypisudolnego"/>
          <w:rFonts w:eastAsia="Aptos"/>
          <w:kern w:val="0"/>
          <w14:ligatures w14:val="none"/>
        </w:rPr>
        <w:footnoteReference w:id="37"/>
      </w:r>
      <w:r w:rsidRPr="007E08F7">
        <w:rPr>
          <w:rFonts w:eastAsia="Aptos"/>
          <w:kern w:val="0"/>
          <w14:ligatures w14:val="none"/>
        </w:rPr>
        <w:t>.</w:t>
      </w:r>
    </w:p>
    <w:p w14:paraId="3FC99715" w14:textId="05544390"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cs="Times New Roman"/>
          <w:b/>
          <w:bCs/>
          <w:kern w:val="0"/>
          <w14:ligatures w14:val="none"/>
        </w:rPr>
        <w:t>Dostępność łóżek w szpitalach ogólnych jest niższa niż średnio w kraju</w:t>
      </w:r>
      <w:r w:rsidRPr="007E08F7">
        <w:rPr>
          <w:rFonts w:eastAsia="Times New Roman" w:cs="Aptos"/>
          <w:bCs/>
          <w:kern w:val="0"/>
          <w14:ligatures w14:val="none"/>
        </w:rPr>
        <w:t>. Krótszy czas hospitalizacji i wysoka liczba pacjentów leczonych na 1 łóżko wskazują na intensywne wykorzystanie zasobów szpitalnych</w:t>
      </w:r>
      <w:r w:rsidRPr="007E08F7">
        <w:rPr>
          <w:rStyle w:val="Odwoanieprzypisudolnego"/>
          <w:rFonts w:eastAsia="Times New Roman" w:cs="Aptos"/>
          <w:bCs/>
          <w:kern w:val="0"/>
          <w14:ligatures w14:val="none"/>
        </w:rPr>
        <w:footnoteReference w:id="38"/>
      </w:r>
      <w:r w:rsidRPr="007E08F7">
        <w:rPr>
          <w:rFonts w:eastAsia="Times New Roman" w:cs="Aptos"/>
          <w:bCs/>
          <w:kern w:val="0"/>
          <w14:ligatures w14:val="none"/>
        </w:rPr>
        <w:t>, ale nie zastępują potrzeby poprawy dostępności świadczeń. Dzięki inwestycjom, nowoczesnemu sprzętowi i</w:t>
      </w:r>
      <w:r w:rsidR="0035231E" w:rsidRPr="007E08F7">
        <w:rPr>
          <w:rFonts w:eastAsia="Times New Roman" w:cs="Aptos"/>
          <w:bCs/>
          <w:kern w:val="0"/>
          <w14:ligatures w14:val="none"/>
        </w:rPr>
        <w:t> </w:t>
      </w:r>
      <w:r w:rsidRPr="007E08F7">
        <w:rPr>
          <w:rFonts w:eastAsia="Times New Roman" w:cs="Aptos"/>
          <w:bCs/>
          <w:kern w:val="0"/>
          <w14:ligatures w14:val="none"/>
        </w:rPr>
        <w:t>nowym technologiom poprawia się jakość i dostępność usług medycznych w</w:t>
      </w:r>
      <w:r w:rsidR="0035231E" w:rsidRPr="007E08F7">
        <w:rPr>
          <w:rFonts w:eastAsia="Times New Roman" w:cs="Aptos"/>
          <w:bCs/>
          <w:kern w:val="0"/>
          <w14:ligatures w14:val="none"/>
        </w:rPr>
        <w:t> </w:t>
      </w:r>
      <w:r w:rsidRPr="007E08F7">
        <w:rPr>
          <w:rFonts w:eastAsia="Times New Roman" w:cs="Aptos"/>
          <w:bCs/>
          <w:kern w:val="0"/>
          <w14:ligatures w14:val="none"/>
        </w:rPr>
        <w:t>szpitalach, w tym wysokospecjalistycznych. Coraz więcej z nich realizuje innowacyjne zabiegi i operacje.</w:t>
      </w:r>
    </w:p>
    <w:p w14:paraId="33B5C6B0" w14:textId="77777777"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 xml:space="preserve">Szczególnym problemem, zwłaszcza w kontekście </w:t>
      </w:r>
      <w:r w:rsidRPr="007E08F7">
        <w:rPr>
          <w14:ligatures w14:val="none"/>
        </w:rPr>
        <w:t>starzenia się społeczeństwa</w:t>
      </w:r>
      <w:r w:rsidRPr="007E08F7">
        <w:rPr>
          <w:rFonts w:eastAsia="Aptos"/>
          <w:kern w:val="0"/>
          <w14:ligatures w14:val="none"/>
        </w:rPr>
        <w:t xml:space="preserve"> jest</w:t>
      </w:r>
      <w:r w:rsidRPr="007E08F7">
        <w:rPr>
          <w:rFonts w:eastAsia="Aptos"/>
          <w:b/>
          <w:bCs/>
          <w:kern w:val="0"/>
          <w14:ligatures w14:val="none"/>
        </w:rPr>
        <w:t xml:space="preserve"> niska dostępność publicznej opieki geriatrycznej</w:t>
      </w:r>
      <w:r w:rsidRPr="007E08F7">
        <w:rPr>
          <w:rFonts w:eastAsia="Aptos"/>
          <w:kern w:val="0"/>
          <w14:ligatures w14:val="none"/>
        </w:rPr>
        <w:t>. W odniesieniu do liczby mieszkańców, w Pomorskiem jest niższa niż średnio w Polsce liczba lekarzy geriatrów, a dostęp do łóżek specjalistycznych na oddziałach geriatrycznych stawia region dopiero na 10. miejscu w kraju.</w:t>
      </w:r>
    </w:p>
    <w:p w14:paraId="5F942168" w14:textId="6DDA4508"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Times New Roman" w:cs="Aptos"/>
          <w:b/>
          <w:kern w:val="0"/>
          <w14:ligatures w14:val="none"/>
        </w:rPr>
        <w:t>Niższa niż średnio w kraju</w:t>
      </w:r>
      <w:r w:rsidRPr="007E08F7">
        <w:rPr>
          <w:rFonts w:eastAsia="Times New Roman" w:cs="Aptos"/>
          <w:bCs/>
          <w:kern w:val="0"/>
          <w14:ligatures w14:val="none"/>
        </w:rPr>
        <w:t xml:space="preserve"> jest również dostępność do ośrodków zapewniających stacjonarną </w:t>
      </w:r>
      <w:r w:rsidRPr="007E08F7">
        <w:rPr>
          <w:rFonts w:eastAsia="Times New Roman" w:cs="Aptos"/>
          <w:b/>
          <w:kern w:val="0"/>
          <w14:ligatures w14:val="none"/>
        </w:rPr>
        <w:t>opiekę długoterminową i hospicyjno-paliatywną</w:t>
      </w:r>
      <w:r w:rsidRPr="007E08F7">
        <w:rPr>
          <w:rFonts w:eastAsia="Times New Roman" w:cs="Aptos"/>
          <w:bCs/>
          <w:kern w:val="0"/>
          <w14:ligatures w14:val="none"/>
        </w:rPr>
        <w:t xml:space="preserve">, chociaż </w:t>
      </w:r>
      <w:r w:rsidRPr="007E08F7">
        <w:rPr>
          <w:rFonts w:eastAsia="Times New Roman" w:cs="Aptos"/>
          <w:bCs/>
          <w:spacing w:val="-2"/>
          <w:kern w:val="0"/>
          <w14:ligatures w14:val="none"/>
        </w:rPr>
        <w:t>od kilku lat wyraźnie</w:t>
      </w:r>
      <w:r w:rsidRPr="007E08F7">
        <w:rPr>
          <w:rFonts w:eastAsia="Times New Roman" w:cs="Aptos"/>
          <w:bCs/>
          <w:kern w:val="0"/>
          <w14:ligatures w14:val="none"/>
        </w:rPr>
        <w:t xml:space="preserve"> się poprawia. Liczba pacjentów objętych </w:t>
      </w:r>
      <w:r w:rsidR="00F23E9C" w:rsidRPr="007E08F7">
        <w:rPr>
          <w:rFonts w:eastAsia="Times New Roman" w:cs="Aptos"/>
          <w:bCs/>
          <w:kern w:val="0"/>
          <w14:ligatures w14:val="none"/>
        </w:rPr>
        <w:t>stacjonarną opieką długoterminową</w:t>
      </w:r>
      <w:r w:rsidR="003C4E80" w:rsidRPr="007E08F7">
        <w:rPr>
          <w:rFonts w:eastAsia="Times New Roman" w:cs="Aptos"/>
          <w:bCs/>
          <w:kern w:val="0"/>
          <w14:ligatures w14:val="none"/>
        </w:rPr>
        <w:t>,</w:t>
      </w:r>
      <w:r w:rsidR="00F23E9C" w:rsidRPr="007E08F7">
        <w:rPr>
          <w:rFonts w:eastAsia="Times New Roman" w:cs="Aptos"/>
          <w:bCs/>
          <w:kern w:val="0"/>
          <w14:ligatures w14:val="none"/>
        </w:rPr>
        <w:t xml:space="preserve"> </w:t>
      </w:r>
      <w:r w:rsidRPr="007E08F7">
        <w:rPr>
          <w:rFonts w:eastAsia="Times New Roman" w:cs="Aptos"/>
          <w:bCs/>
          <w:kern w:val="0"/>
          <w14:ligatures w14:val="none"/>
        </w:rPr>
        <w:t>w odniesieniu do liczby ludności</w:t>
      </w:r>
      <w:r w:rsidR="003C4E80" w:rsidRPr="007E08F7">
        <w:rPr>
          <w:rFonts w:eastAsia="Times New Roman" w:cs="Aptos"/>
          <w:bCs/>
          <w:kern w:val="0"/>
          <w14:ligatures w14:val="none"/>
        </w:rPr>
        <w:t>,</w:t>
      </w:r>
      <w:r w:rsidRPr="007E08F7">
        <w:rPr>
          <w:rFonts w:eastAsia="Times New Roman" w:cs="Aptos"/>
          <w:bCs/>
          <w:kern w:val="0"/>
          <w14:ligatures w14:val="none"/>
        </w:rPr>
        <w:t xml:space="preserve"> plasuje Pomorskie na przedostatnim miejscu wśród województw</w:t>
      </w:r>
      <w:r w:rsidRPr="007E08F7">
        <w:rPr>
          <w:rStyle w:val="Odwoanieprzypisudolnego"/>
          <w:rFonts w:eastAsia="Times New Roman" w:cs="Aptos"/>
          <w:bCs/>
          <w:kern w:val="0"/>
          <w14:ligatures w14:val="none"/>
        </w:rPr>
        <w:footnoteReference w:id="39"/>
      </w:r>
      <w:r w:rsidRPr="007E08F7">
        <w:rPr>
          <w:rFonts w:eastAsia="Times New Roman" w:cs="Aptos"/>
          <w:bCs/>
          <w:kern w:val="0"/>
          <w14:ligatures w14:val="none"/>
        </w:rPr>
        <w:t>.</w:t>
      </w:r>
    </w:p>
    <w:p w14:paraId="50D279F5" w14:textId="77777777"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Times New Roman" w:cs="Aptos"/>
          <w:b/>
          <w:kern w:val="0"/>
          <w14:ligatures w14:val="none"/>
        </w:rPr>
        <w:t xml:space="preserve">Bardzo niska </w:t>
      </w:r>
      <w:r w:rsidRPr="007E08F7">
        <w:rPr>
          <w:rFonts w:eastAsia="Times New Roman" w:cs="Aptos"/>
          <w:bCs/>
          <w:kern w:val="0"/>
          <w14:ligatures w14:val="none"/>
        </w:rPr>
        <w:t>jest również</w:t>
      </w:r>
      <w:r w:rsidRPr="007E08F7">
        <w:rPr>
          <w:rFonts w:eastAsia="Times New Roman" w:cs="Aptos"/>
          <w:b/>
          <w:kern w:val="0"/>
          <w14:ligatures w14:val="none"/>
        </w:rPr>
        <w:t xml:space="preserve"> dostępność środowiskowej opieki zdrowotnej</w:t>
      </w:r>
      <w:r w:rsidRPr="007E08F7">
        <w:rPr>
          <w:rFonts w:eastAsia="Times New Roman" w:cs="Aptos"/>
          <w:bCs/>
          <w:kern w:val="0"/>
          <w14:ligatures w14:val="none"/>
        </w:rPr>
        <w:t xml:space="preserve">, szczególnie w opiece psychiatrycznej, opiece nad osobami starszymi oraz przewlekle chorymi. Brakuje ośrodków zapewniających długoterminową opiekę domową, a </w:t>
      </w:r>
      <w:r w:rsidRPr="007E08F7">
        <w:rPr>
          <w:rFonts w:eastAsia="Aptos"/>
          <w:kern w:val="0"/>
          <w14:ligatures w14:val="none"/>
        </w:rPr>
        <w:t>liczba pacjentów nią objętych w odniesieniu do liczby ludności od lat plasuje region na ostatnim miejscu w Polsce</w:t>
      </w:r>
      <w:r w:rsidRPr="007E08F7">
        <w:rPr>
          <w:rStyle w:val="Odwoanieprzypisudolnego"/>
          <w:rFonts w:eastAsia="Aptos"/>
          <w:kern w:val="0"/>
          <w14:ligatures w14:val="none"/>
        </w:rPr>
        <w:footnoteReference w:id="40"/>
      </w:r>
      <w:r w:rsidRPr="007E08F7">
        <w:rPr>
          <w:rFonts w:eastAsia="Aptos"/>
          <w:kern w:val="0"/>
          <w14:ligatures w14:val="none"/>
        </w:rPr>
        <w:t>.</w:t>
      </w:r>
    </w:p>
    <w:p w14:paraId="359D8A6A" w14:textId="71076330" w:rsidR="00E52C92" w:rsidRPr="007E08F7" w:rsidRDefault="00E52C92">
      <w:pPr>
        <w:keepLines/>
        <w:numPr>
          <w:ilvl w:val="0"/>
          <w:numId w:val="13"/>
        </w:numPr>
        <w:spacing w:before="120" w:after="120" w:line="288" w:lineRule="auto"/>
        <w:ind w:left="425" w:hanging="425"/>
        <w:rPr>
          <w:rFonts w:eastAsia="Aptos"/>
          <w:kern w:val="0"/>
          <w14:ligatures w14:val="none"/>
        </w:rPr>
      </w:pPr>
      <w:r w:rsidRPr="007E08F7">
        <w:rPr>
          <w:rFonts w:eastAsia="Aptos"/>
          <w:b/>
          <w:bCs/>
          <w:kern w:val="0"/>
          <w14:ligatures w14:val="none"/>
        </w:rPr>
        <w:lastRenderedPageBreak/>
        <w:t>Dostęp do publicznych świadczeń rehabilitacyjnych</w:t>
      </w:r>
      <w:r w:rsidRPr="007E08F7">
        <w:rPr>
          <w:rFonts w:eastAsia="Aptos"/>
          <w:kern w:val="0"/>
          <w14:ligatures w14:val="none"/>
        </w:rPr>
        <w:t xml:space="preserve"> nie nadąża za rosnącymi potrzebami, związanymi</w:t>
      </w:r>
      <w:r w:rsidR="003C4E80" w:rsidRPr="007E08F7">
        <w:rPr>
          <w:rFonts w:eastAsia="Aptos"/>
          <w:kern w:val="0"/>
          <w14:ligatures w14:val="none"/>
        </w:rPr>
        <w:t>,</w:t>
      </w:r>
      <w:r w:rsidRPr="007E08F7">
        <w:rPr>
          <w:rFonts w:eastAsia="Aptos"/>
          <w:kern w:val="0"/>
          <w14:ligatures w14:val="none"/>
        </w:rPr>
        <w:t xml:space="preserve"> z jednej strony ze starzeniem się społeczeństwa i rosnącą skalą chorób przewlekłych, a z drugiej z niewystarczającą dostępnością kadr i</w:t>
      </w:r>
      <w:r w:rsidR="0035231E" w:rsidRPr="007E08F7">
        <w:rPr>
          <w:rFonts w:eastAsia="Aptos"/>
          <w:kern w:val="0"/>
          <w14:ligatures w14:val="none"/>
        </w:rPr>
        <w:t> </w:t>
      </w:r>
      <w:r w:rsidRPr="007E08F7">
        <w:rPr>
          <w:rFonts w:eastAsia="Aptos"/>
          <w:kern w:val="0"/>
          <w14:ligatures w14:val="none"/>
        </w:rPr>
        <w:t>świadczeń finansowanych przez NFZ. Liczba ośrodków rehabilitacji w odniesieniu do liczby ludności jest najniższa w Polsce i chociaż rośnie liczba fizjoterapeutów finansowanych ze środków publicznych, nadal jednak na 1 fizjoterapeutę na Pomorzu przypada więcej ludności niż średnio w kraju.</w:t>
      </w:r>
    </w:p>
    <w:p w14:paraId="77D3D940" w14:textId="77777777"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 xml:space="preserve">Poprawa stanu zdrowia mieszkańców wymaga nie tylko zapewnienia odpowiedniej infrastruktury, dostępności kadr i opieki, ale coraz ważniejsze jest również </w:t>
      </w:r>
      <w:r w:rsidRPr="007E08F7">
        <w:rPr>
          <w:rFonts w:eastAsia="Aptos"/>
          <w:b/>
          <w:bCs/>
          <w:kern w:val="0"/>
          <w14:ligatures w14:val="none"/>
        </w:rPr>
        <w:t>budowanie środowiska sprzyjającego zdrowiu</w:t>
      </w:r>
      <w:r w:rsidRPr="007E08F7">
        <w:rPr>
          <w:rFonts w:eastAsia="Aptos"/>
          <w:kern w:val="0"/>
          <w14:ligatures w14:val="none"/>
        </w:rPr>
        <w:t>, które uwzględnia wpływ zarówno jakości środowiska, jak też przestrzeni życia na zdrowie i dobrostan mieszkańców. Szczególną rolę odgrywa zwiększanie dostępności terenów zieleni i zielonej infrastruktury, które wpływają nie tylko na odporność regionu na skutki zmian klimatu, ale również wzmacniają zdrowie fizyczne i psychiczne mieszkańców, proces rehabilitacji oraz profilaktykę zdrowotną.</w:t>
      </w:r>
    </w:p>
    <w:p w14:paraId="154256CD" w14:textId="216138DA"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Times New Roman" w:cs="Aptos"/>
          <w:bCs/>
          <w:spacing w:val="-2"/>
          <w:kern w:val="0"/>
          <w14:ligatures w14:val="none"/>
        </w:rPr>
        <w:t xml:space="preserve">Narasta również </w:t>
      </w:r>
      <w:r w:rsidRPr="007E08F7">
        <w:rPr>
          <w:rFonts w:eastAsia="Times New Roman" w:cs="Aptos"/>
          <w:b/>
          <w:bCs/>
          <w:spacing w:val="-2"/>
          <w:kern w:val="0"/>
          <w14:ligatures w14:val="none"/>
        </w:rPr>
        <w:t>deficyt kadr w sektorze zdrowia</w:t>
      </w:r>
      <w:r w:rsidR="00F23E9C" w:rsidRPr="007E08F7">
        <w:rPr>
          <w:rFonts w:eastAsia="Times New Roman" w:cs="Aptos"/>
          <w:b/>
          <w:bCs/>
          <w:spacing w:val="-2"/>
          <w:kern w:val="0"/>
          <w14:ligatures w14:val="none"/>
        </w:rPr>
        <w:t xml:space="preserve"> i usług społecznych</w:t>
      </w:r>
      <w:r w:rsidRPr="007E08F7">
        <w:rPr>
          <w:rFonts w:eastAsia="Times New Roman" w:cs="Aptos"/>
          <w:bCs/>
          <w:spacing w:val="-2"/>
          <w:kern w:val="0"/>
          <w14:ligatures w14:val="none"/>
        </w:rPr>
        <w:t xml:space="preserve">. Niedobór specjalistów, starzenie się kadr oraz malejąca atrakcyjność zawodów opiekuńczych osłabiają zdolność systemu do reagowania na rosnące potrzeby mieszkańców. </w:t>
      </w:r>
      <w:r w:rsidRPr="007E08F7">
        <w:rPr>
          <w:rFonts w:eastAsia="Aptos"/>
          <w:kern w:val="0"/>
          <w14:ligatures w14:val="none"/>
        </w:rPr>
        <w:t>Rośnie znaczenie nieformalnych form wsparcia, zaangażowania osób niespokrewnionych w zapewnianie pomocy, w tym wolontariatu oraz usług sąsiedzkich.</w:t>
      </w:r>
    </w:p>
    <w:p w14:paraId="2D08B557" w14:textId="77777777"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W systemie ochrony zdrowia</w:t>
      </w:r>
      <w:r w:rsidRPr="007E08F7" w:rsidDel="009F4F42">
        <w:rPr>
          <w:rFonts w:eastAsia="Aptos"/>
          <w:kern w:val="0"/>
          <w14:ligatures w14:val="none"/>
        </w:rPr>
        <w:t xml:space="preserve"> </w:t>
      </w:r>
      <w:r w:rsidRPr="007E08F7">
        <w:rPr>
          <w:rFonts w:eastAsia="Times New Roman" w:cs="Aptos"/>
          <w:bCs/>
          <w:kern w:val="0"/>
          <w14:ligatures w14:val="none"/>
        </w:rPr>
        <w:t xml:space="preserve">brakuje lekarzy różnych specjalności oraz innych kadr, m.in. pielęgniarek. W przypadku pielęgniarek dodatkowym wyzwaniem jest niewystarczająca zastępowalność pokoleniowa. </w:t>
      </w:r>
      <w:r w:rsidRPr="007E08F7">
        <w:rPr>
          <w:rFonts w:eastAsia="Times New Roman" w:cs="Aptos"/>
          <w:bCs/>
          <w:spacing w:val="-2"/>
          <w:kern w:val="0"/>
          <w14:ligatures w14:val="none"/>
        </w:rPr>
        <w:t>Liczba lekarzy w odniesieniu do liczby ludności kształtuje się na poziomie średniej krajowej. Z kolei l</w:t>
      </w:r>
      <w:r w:rsidRPr="007E08F7">
        <w:rPr>
          <w:rFonts w:eastAsia="Times New Roman" w:cs="Aptos"/>
          <w:bCs/>
          <w:kern w:val="0"/>
          <w:lang w:eastAsia="pl-PL"/>
          <w14:ligatures w14:val="none"/>
        </w:rPr>
        <w:t>iczba pielęgniarek i położnych przypadająca na 10 tys. mieszkańców plasuje region na przedostatniej pozycji wśród województw. Wzrasta udział kadry w wieku emerytalnym.</w:t>
      </w:r>
    </w:p>
    <w:p w14:paraId="42218D4B" w14:textId="06F1FD32"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cs="Times New Roman"/>
          <w:b/>
          <w:bCs/>
          <w:kern w:val="0"/>
          <w14:ligatures w14:val="none"/>
        </w:rPr>
        <w:t>Wskaźnik zagrożenia ubóstwem</w:t>
      </w:r>
      <w:r w:rsidRPr="007E08F7">
        <w:rPr>
          <w:rFonts w:eastAsia="Aptos" w:cs="Times New Roman"/>
          <w:kern w:val="0"/>
          <w14:ligatures w14:val="none"/>
        </w:rPr>
        <w:t xml:space="preserve"> na Pomorzu po uwzględnieniu transferów społecznych</w:t>
      </w:r>
      <w:r w:rsidRPr="007E08F7">
        <w:rPr>
          <w:rStyle w:val="Odwoanieprzypisudolnego"/>
          <w:rFonts w:eastAsia="Aptos" w:cs="Times New Roman"/>
          <w:kern w:val="0"/>
          <w14:ligatures w14:val="none"/>
        </w:rPr>
        <w:footnoteReference w:id="41"/>
      </w:r>
      <w:r w:rsidRPr="007E08F7">
        <w:rPr>
          <w:rFonts w:eastAsia="Aptos" w:cs="Times New Roman"/>
          <w:kern w:val="0"/>
          <w14:ligatures w14:val="none"/>
        </w:rPr>
        <w:t xml:space="preserve"> przez lata był niższy niż przeciętny w kraju. W 2025 r. jednak wzrósł i</w:t>
      </w:r>
      <w:r w:rsidR="0035231E" w:rsidRPr="007E08F7">
        <w:rPr>
          <w:rFonts w:eastAsia="Aptos" w:cs="Times New Roman"/>
          <w:b/>
          <w:bCs/>
          <w:kern w:val="0"/>
          <w14:ligatures w14:val="none"/>
        </w:rPr>
        <w:t> </w:t>
      </w:r>
      <w:r w:rsidRPr="007E08F7">
        <w:rPr>
          <w:rFonts w:eastAsia="Aptos" w:cs="Times New Roman"/>
          <w:b/>
          <w:bCs/>
          <w:kern w:val="0"/>
          <w14:ligatures w14:val="none"/>
        </w:rPr>
        <w:t>zbliżył się do średniej krajowej</w:t>
      </w:r>
      <w:r w:rsidRPr="007E08F7">
        <w:rPr>
          <w:rFonts w:eastAsia="Aptos" w:cs="Times New Roman"/>
          <w:kern w:val="0"/>
          <w14:ligatures w14:val="none"/>
        </w:rPr>
        <w:t xml:space="preserve">. Jednocześnie </w:t>
      </w:r>
      <w:r w:rsidRPr="007E08F7">
        <w:rPr>
          <w:rFonts w:eastAsia="Aptos" w:cs="Aptos"/>
          <w:bCs/>
          <w:kern w:val="0"/>
          <w14:ligatures w14:val="none"/>
        </w:rPr>
        <w:t xml:space="preserve">zamożność pomorskich gospodarstw domowych oraz </w:t>
      </w:r>
      <w:r w:rsidRPr="007E08F7">
        <w:rPr>
          <w:rFonts w:eastAsia="Aptos" w:cs="Times New Roman"/>
          <w:kern w:val="0"/>
          <w14:ligatures w14:val="none"/>
        </w:rPr>
        <w:t>przeciętne wynagrodzenia</w:t>
      </w:r>
      <w:r w:rsidRPr="007E08F7">
        <w:rPr>
          <w:rFonts w:eastAsia="Aptos" w:cs="Aptos"/>
          <w:bCs/>
          <w:kern w:val="0"/>
          <w14:ligatures w14:val="none"/>
        </w:rPr>
        <w:t xml:space="preserve"> są wyższe niż średnio w</w:t>
      </w:r>
      <w:r w:rsidR="0035231E" w:rsidRPr="007E08F7">
        <w:rPr>
          <w:rFonts w:eastAsia="Aptos" w:cs="Aptos"/>
          <w:bCs/>
          <w:kern w:val="0"/>
          <w14:ligatures w14:val="none"/>
        </w:rPr>
        <w:t> </w:t>
      </w:r>
      <w:r w:rsidRPr="007E08F7">
        <w:rPr>
          <w:rFonts w:eastAsia="Aptos" w:cs="Aptos"/>
          <w:bCs/>
          <w:kern w:val="0"/>
          <w14:ligatures w14:val="none"/>
        </w:rPr>
        <w:t>Polsce.</w:t>
      </w:r>
      <w:r w:rsidRPr="007E08F7">
        <w:rPr>
          <w:rFonts w:eastAsia="Aptos"/>
          <w:kern w:val="0"/>
          <w14:ligatures w14:val="none"/>
        </w:rPr>
        <w:t xml:space="preserve"> </w:t>
      </w:r>
      <w:r w:rsidRPr="007E08F7">
        <w:rPr>
          <w:rFonts w:eastAsia="Aptos" w:cs="Times New Roman"/>
          <w:kern w:val="0"/>
          <w14:ligatures w14:val="none"/>
        </w:rPr>
        <w:t>Nie eliminuje to jednak problemu ubóstwa, które nadal dotyczy części mieszkańców województwa.</w:t>
      </w:r>
    </w:p>
    <w:p w14:paraId="1C36430D" w14:textId="77777777"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lastRenderedPageBreak/>
        <w:t>Wskaźnik deprywacji lokalnej, tj. odsetek mieszkańców, którzy żyją w rodzinach korzystających ze świadczeń pomocy społecznej w 2025 r. w województwie pomorskim wyniósł 2,3%. Najczęstszymi powodami przyznania pomocy pozostają</w:t>
      </w:r>
      <w:r w:rsidRPr="007E08F7">
        <w:rPr>
          <w:rFonts w:eastAsia="Aptos"/>
          <w:b/>
          <w:bCs/>
          <w:kern w:val="0"/>
          <w14:ligatures w14:val="none"/>
        </w:rPr>
        <w:t xml:space="preserve"> długotrwała lub ciężka choroba, niepełnosprawność oraz ubóstwo</w:t>
      </w:r>
      <w:r w:rsidRPr="007E08F7">
        <w:rPr>
          <w:rStyle w:val="Odwoanieprzypisudolnego"/>
          <w:rFonts w:eastAsia="Aptos"/>
          <w:kern w:val="0"/>
          <w14:ligatures w14:val="none"/>
        </w:rPr>
        <w:footnoteReference w:id="42"/>
      </w:r>
      <w:r w:rsidRPr="007E08F7">
        <w:rPr>
          <w:rFonts w:eastAsia="Aptos"/>
          <w:kern w:val="0"/>
          <w14:ligatures w14:val="none"/>
        </w:rPr>
        <w:t>.</w:t>
      </w:r>
    </w:p>
    <w:p w14:paraId="68B7042A" w14:textId="4F4D79F7" w:rsidR="00E52C92" w:rsidRPr="007E08F7" w:rsidRDefault="00E52C92">
      <w:pPr>
        <w:numPr>
          <w:ilvl w:val="0"/>
          <w:numId w:val="13"/>
        </w:numPr>
        <w:spacing w:before="120" w:after="120" w:line="288" w:lineRule="auto"/>
        <w:ind w:left="426" w:hanging="426"/>
        <w:rPr>
          <w:rFonts w:eastAsia="Times New Roman" w:cs="Aptos"/>
          <w:bCs/>
          <w:spacing w:val="-2"/>
          <w:kern w:val="0"/>
          <w14:ligatures w14:val="none"/>
        </w:rPr>
      </w:pPr>
      <w:r w:rsidRPr="007E08F7">
        <w:rPr>
          <w:rFonts w:eastAsia="Aptos"/>
          <w:kern w:val="0"/>
          <w14:ligatures w14:val="none"/>
        </w:rPr>
        <w:t>W przypadku pracowników pomocy społecznej</w:t>
      </w:r>
      <w:r w:rsidRPr="007E08F7" w:rsidDel="009F4F42">
        <w:rPr>
          <w:rFonts w:eastAsia="Aptos"/>
          <w:kern w:val="0"/>
          <w14:ligatures w14:val="none"/>
        </w:rPr>
        <w:t xml:space="preserve"> </w:t>
      </w:r>
      <w:r w:rsidRPr="007E08F7">
        <w:rPr>
          <w:rFonts w:eastAsia="Aptos"/>
          <w:kern w:val="0"/>
          <w14:ligatures w14:val="none"/>
        </w:rPr>
        <w:t>problemem jest wciąż odczuwalny niski prestiż społeczny zawodu oraz niskie uposażenie, który obserwuje się już na etapie rekrutacji na studia oraz odsetka absolwentów. Nieliczna grupa osób uzyskująca dyplom pracownika socjalnego podejmuje zatrudnienie w zawodzie. Jednocześnie w strukturze zatrudnienia w zawodach pomocowych zaznacza się wysoki odsetek osób w wieku okołoemerytalnym, sygnalizujący nadchodzącą jego zapaść. Warunkiem skutecznego wspierania osób w kryzysie jest dostęp kadr do</w:t>
      </w:r>
      <w:r w:rsidR="0035231E" w:rsidRPr="007E08F7">
        <w:rPr>
          <w:rFonts w:eastAsia="Aptos"/>
          <w:kern w:val="0"/>
          <w14:ligatures w14:val="none"/>
        </w:rPr>
        <w:t> </w:t>
      </w:r>
      <w:proofErr w:type="spellStart"/>
      <w:r w:rsidRPr="007E08F7">
        <w:rPr>
          <w:rFonts w:eastAsia="Aptos"/>
          <w:kern w:val="0"/>
          <w14:ligatures w14:val="none"/>
        </w:rPr>
        <w:t>superwizji</w:t>
      </w:r>
      <w:proofErr w:type="spellEnd"/>
      <w:r w:rsidRPr="007E08F7">
        <w:rPr>
          <w:rStyle w:val="Odwoanieprzypisudolnego"/>
          <w:rFonts w:eastAsia="Aptos"/>
          <w:kern w:val="0"/>
          <w14:ligatures w14:val="none"/>
        </w:rPr>
        <w:footnoteReference w:id="43"/>
      </w:r>
      <w:r w:rsidRPr="007E08F7">
        <w:rPr>
          <w:rFonts w:eastAsia="Aptos"/>
          <w:kern w:val="0"/>
          <w14:ligatures w14:val="none"/>
        </w:rPr>
        <w:t xml:space="preserve">, która w systemie pomocy społecznej w województwie wciąż nie jest powszechna. </w:t>
      </w:r>
    </w:p>
    <w:p w14:paraId="5027B32C" w14:textId="099B079D"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 xml:space="preserve">Coraz wyraźniej ujawnia się niedostosowanie obecnego modelu świadczenia usług do złożonych potrzeb mieszkańców oraz </w:t>
      </w:r>
      <w:r w:rsidRPr="007E08F7">
        <w:rPr>
          <w:rFonts w:eastAsia="Aptos"/>
          <w:b/>
          <w:bCs/>
          <w:kern w:val="0"/>
          <w14:ligatures w14:val="none"/>
        </w:rPr>
        <w:t>niewystarczająca koordynacja pomiędzy systemem ochrony zdrowia i pomocą społeczną</w:t>
      </w:r>
      <w:r w:rsidRPr="007E08F7">
        <w:rPr>
          <w:rFonts w:eastAsia="Aptos"/>
          <w:kern w:val="0"/>
          <w14:ligatures w14:val="none"/>
        </w:rPr>
        <w:t>. Jednocześnie rosną obciążenia finansowe samorządów związane ze starzeniem się społeczeństwa, ale też z</w:t>
      </w:r>
      <w:r w:rsidR="00A53565" w:rsidRPr="007E08F7">
        <w:rPr>
          <w:rFonts w:eastAsia="Aptos"/>
          <w:kern w:val="0"/>
          <w14:ligatures w14:val="none"/>
        </w:rPr>
        <w:t> </w:t>
      </w:r>
      <w:r w:rsidRPr="007E08F7">
        <w:rPr>
          <w:rFonts w:eastAsia="Aptos"/>
          <w:kern w:val="0"/>
          <w14:ligatures w14:val="none"/>
        </w:rPr>
        <w:t xml:space="preserve">rozwojem </w:t>
      </w:r>
      <w:proofErr w:type="spellStart"/>
      <w:r w:rsidRPr="007E08F7">
        <w:rPr>
          <w:rFonts w:eastAsia="Aptos"/>
          <w:kern w:val="0"/>
          <w14:ligatures w14:val="none"/>
        </w:rPr>
        <w:t>deinstytucjonalizacji</w:t>
      </w:r>
      <w:proofErr w:type="spellEnd"/>
      <w:r w:rsidRPr="007E08F7">
        <w:rPr>
          <w:rFonts w:eastAsia="Aptos"/>
          <w:kern w:val="0"/>
          <w14:ligatures w14:val="none"/>
        </w:rPr>
        <w:t xml:space="preserve"> opieki</w:t>
      </w:r>
      <w:r w:rsidRPr="007E08F7">
        <w:rPr>
          <w:rStyle w:val="Odwoanieprzypisudolnego"/>
          <w:rFonts w:eastAsia="Aptos"/>
          <w:kern w:val="0"/>
          <w14:ligatures w14:val="none"/>
        </w:rPr>
        <w:footnoteReference w:id="44"/>
      </w:r>
      <w:r w:rsidRPr="007E08F7">
        <w:rPr>
          <w:rFonts w:eastAsia="Aptos"/>
          <w:kern w:val="0"/>
          <w14:ligatures w14:val="none"/>
        </w:rPr>
        <w:t>. W 2025 r. wydatki pomorskich gmin na</w:t>
      </w:r>
      <w:r w:rsidR="00A53565" w:rsidRPr="007E08F7">
        <w:rPr>
          <w:rFonts w:eastAsia="Aptos"/>
          <w:kern w:val="0"/>
          <w14:ligatures w14:val="none"/>
        </w:rPr>
        <w:t> </w:t>
      </w:r>
      <w:r w:rsidRPr="007E08F7">
        <w:rPr>
          <w:rFonts w:eastAsia="Aptos"/>
          <w:kern w:val="0"/>
          <w14:ligatures w14:val="none"/>
        </w:rPr>
        <w:t>zadania z zakresu polityki społecznej przekroczyły kwotę 4,3 mld zł, z czego ponad połowę przeznaczono na wsparcie rodzin. Największy wzrost kosztów nastąpił w</w:t>
      </w:r>
      <w:r w:rsidR="0035231E" w:rsidRPr="007E08F7">
        <w:rPr>
          <w:rFonts w:eastAsia="Aptos"/>
          <w:kern w:val="0"/>
          <w14:ligatures w14:val="none"/>
        </w:rPr>
        <w:t> </w:t>
      </w:r>
      <w:r w:rsidRPr="007E08F7">
        <w:rPr>
          <w:rFonts w:eastAsia="Aptos"/>
          <w:kern w:val="0"/>
          <w14:ligatures w14:val="none"/>
        </w:rPr>
        <w:t>obszarze usług sąsiedzkich oraz świadczeń na zasiłki stałe.</w:t>
      </w:r>
    </w:p>
    <w:p w14:paraId="1E1178C0" w14:textId="77777777" w:rsidR="00E52C92" w:rsidRPr="007E08F7" w:rsidRDefault="00E52C92" w:rsidP="00A53565">
      <w:pPr>
        <w:pStyle w:val="Nagwek3"/>
        <w:rPr>
          <w:rFonts w:eastAsia="Aptos"/>
        </w:rPr>
      </w:pPr>
      <w:bookmarkStart w:id="15" w:name="_Toc239772043"/>
      <w:r w:rsidRPr="007E08F7">
        <w:rPr>
          <w:rFonts w:eastAsia="Aptos"/>
        </w:rPr>
        <w:t>Kapitał społeczny</w:t>
      </w:r>
      <w:bookmarkEnd w:id="15"/>
    </w:p>
    <w:p w14:paraId="1F522875" w14:textId="46AFE4E1"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 xml:space="preserve">Województwo wyróżnia się </w:t>
      </w:r>
      <w:r w:rsidRPr="007E08F7">
        <w:rPr>
          <w:rFonts w:eastAsia="Aptos"/>
          <w:b/>
          <w:bCs/>
          <w:kern w:val="0"/>
          <w14:ligatures w14:val="none"/>
        </w:rPr>
        <w:t>bogatą i zróżnicowaną ofertą kulturalną, opartą na</w:t>
      </w:r>
      <w:r w:rsidR="00A53565" w:rsidRPr="007E08F7">
        <w:rPr>
          <w:rFonts w:eastAsia="Aptos"/>
          <w:b/>
          <w:bCs/>
          <w:kern w:val="0"/>
          <w14:ligatures w14:val="none"/>
        </w:rPr>
        <w:t> </w:t>
      </w:r>
      <w:r w:rsidRPr="007E08F7">
        <w:rPr>
          <w:rFonts w:eastAsia="Aptos"/>
          <w:b/>
          <w:bCs/>
          <w:kern w:val="0"/>
          <w14:ligatures w14:val="none"/>
        </w:rPr>
        <w:t>dziedzictwie kulturowym</w:t>
      </w:r>
      <w:r w:rsidRPr="007E08F7">
        <w:rPr>
          <w:rFonts w:eastAsia="Aptos"/>
          <w:kern w:val="0"/>
          <w14:ligatures w14:val="none"/>
        </w:rPr>
        <w:t xml:space="preserve">. Liczne instytucje kultury oraz inne podmioty działające w branży kultury zapewniają mieszkańcom i osobom odwiedzającym region szeroką ofertę artystyczną, czego dowodem jest systematycznie rosnące </w:t>
      </w:r>
      <w:r w:rsidRPr="007E08F7">
        <w:rPr>
          <w:rFonts w:eastAsia="Aptos"/>
          <w:b/>
          <w:bCs/>
          <w:kern w:val="0"/>
          <w14:ligatures w14:val="none"/>
        </w:rPr>
        <w:t>zainteresowanie ofertą kulturalną</w:t>
      </w:r>
      <w:r w:rsidRPr="007E08F7">
        <w:rPr>
          <w:rFonts w:eastAsia="Aptos"/>
          <w:kern w:val="0"/>
          <w14:ligatures w14:val="none"/>
        </w:rPr>
        <w:t>. Znajduje to odzwierciedlenie np.</w:t>
      </w:r>
      <w:r w:rsidR="00A53565" w:rsidRPr="007E08F7">
        <w:rPr>
          <w:rFonts w:eastAsia="Aptos"/>
          <w:kern w:val="0"/>
          <w14:ligatures w14:val="none"/>
        </w:rPr>
        <w:t> </w:t>
      </w:r>
      <w:r w:rsidRPr="007E08F7">
        <w:rPr>
          <w:rFonts w:eastAsia="Aptos"/>
          <w:kern w:val="0"/>
          <w14:ligatures w14:val="none"/>
        </w:rPr>
        <w:t>w</w:t>
      </w:r>
      <w:r w:rsidR="00A53565" w:rsidRPr="007E08F7">
        <w:rPr>
          <w:rFonts w:eastAsia="Aptos"/>
          <w:kern w:val="0"/>
          <w14:ligatures w14:val="none"/>
        </w:rPr>
        <w:t> </w:t>
      </w:r>
      <w:r w:rsidRPr="007E08F7">
        <w:rPr>
          <w:rFonts w:eastAsia="Aptos"/>
          <w:kern w:val="0"/>
          <w14:ligatures w14:val="none"/>
        </w:rPr>
        <w:t>zwiększającej się liczbie osób odwiedzających muzea, teatry i instytucje muzyczne. L</w:t>
      </w:r>
      <w:r w:rsidRPr="007E08F7">
        <w:rPr>
          <w:rFonts w:eastAsia="Aptos" w:cs="Aptos"/>
          <w:kern w:val="0"/>
          <w14:ligatures w14:val="none"/>
        </w:rPr>
        <w:t>iczba zwiedzających muzea (łącznie z oddziałami)</w:t>
      </w:r>
      <w:r w:rsidR="003C4E80" w:rsidRPr="007E08F7">
        <w:rPr>
          <w:rFonts w:eastAsia="Aptos" w:cs="Aptos"/>
          <w:kern w:val="0"/>
          <w14:ligatures w14:val="none"/>
        </w:rPr>
        <w:t>,</w:t>
      </w:r>
      <w:r w:rsidRPr="007E08F7">
        <w:rPr>
          <w:rFonts w:eastAsia="Aptos" w:cs="Aptos"/>
          <w:kern w:val="0"/>
          <w14:ligatures w14:val="none"/>
        </w:rPr>
        <w:t xml:space="preserve"> w przeliczeniu na</w:t>
      </w:r>
      <w:r w:rsidR="00A53565" w:rsidRPr="007E08F7">
        <w:rPr>
          <w:rFonts w:eastAsia="Aptos" w:cs="Aptos"/>
          <w:kern w:val="0"/>
          <w14:ligatures w14:val="none"/>
        </w:rPr>
        <w:t> </w:t>
      </w:r>
      <w:r w:rsidRPr="007E08F7">
        <w:rPr>
          <w:rFonts w:eastAsia="Aptos" w:cs="Aptos"/>
          <w:kern w:val="0"/>
          <w14:ligatures w14:val="none"/>
        </w:rPr>
        <w:t>liczbę mieszkańców</w:t>
      </w:r>
      <w:r w:rsidR="003C4E80" w:rsidRPr="007E08F7">
        <w:rPr>
          <w:rFonts w:eastAsia="Aptos" w:cs="Aptos"/>
          <w:kern w:val="0"/>
          <w14:ligatures w14:val="none"/>
        </w:rPr>
        <w:t>,</w:t>
      </w:r>
      <w:r w:rsidRPr="007E08F7">
        <w:rPr>
          <w:rFonts w:eastAsia="Aptos" w:cs="Aptos"/>
          <w:kern w:val="0"/>
          <w14:ligatures w14:val="none"/>
        </w:rPr>
        <w:t xml:space="preserve"> od lat plasuje region na 3. miejscu w Polsce, a liczba widzów i słuchaczy odwiedzających teatry i</w:t>
      </w:r>
      <w:r w:rsidR="008C20FA" w:rsidRPr="007E08F7">
        <w:rPr>
          <w:rFonts w:eastAsia="Aptos" w:cs="Aptos"/>
          <w:kern w:val="0"/>
          <w14:ligatures w14:val="none"/>
        </w:rPr>
        <w:t> </w:t>
      </w:r>
      <w:r w:rsidRPr="007E08F7">
        <w:rPr>
          <w:rFonts w:eastAsia="Aptos" w:cs="Aptos"/>
          <w:kern w:val="0"/>
          <w14:ligatures w14:val="none"/>
        </w:rPr>
        <w:t>instytucje muzyczne na 6. miejscu.</w:t>
      </w:r>
      <w:r w:rsidRPr="007E08F7">
        <w:rPr>
          <w:rFonts w:eastAsia="Calibri" w:cs="Aptos"/>
          <w:bCs/>
          <w:kern w:val="0"/>
          <w:lang w:eastAsia="pl-PL"/>
          <w14:ligatures w14:val="none"/>
        </w:rPr>
        <w:t xml:space="preserve"> </w:t>
      </w:r>
      <w:r w:rsidR="00744FD9" w:rsidRPr="007E08F7">
        <w:rPr>
          <w:rFonts w:eastAsia="Calibri" w:cs="Aptos"/>
          <w:bCs/>
          <w:kern w:val="0"/>
          <w:lang w:eastAsia="pl-PL"/>
          <w14:ligatures w14:val="none"/>
        </w:rPr>
        <w:lastRenderedPageBreak/>
        <w:t>Mimo licznych inwestycji, wzmocnienia wymaga nadal infrastruktura instytucji kultury, przy czym największym deficytem jest brak profesjonalnej sceny operowej.</w:t>
      </w:r>
    </w:p>
    <w:p w14:paraId="2DE6C7A7" w14:textId="3C965D6E" w:rsidR="00E52C92" w:rsidRPr="007E08F7" w:rsidRDefault="00E52C92">
      <w:pPr>
        <w:numPr>
          <w:ilvl w:val="0"/>
          <w:numId w:val="13"/>
        </w:numPr>
        <w:spacing w:before="120" w:after="120" w:line="288" w:lineRule="auto"/>
        <w:ind w:left="426" w:hanging="426"/>
        <w:rPr>
          <w:kern w:val="0"/>
          <w14:ligatures w14:val="none"/>
        </w:rPr>
      </w:pPr>
      <w:r w:rsidRPr="007E08F7">
        <w:rPr>
          <w:rFonts w:eastAsia="Calibri" w:cs="Aptos"/>
          <w:bCs/>
          <w:kern w:val="0"/>
          <w:lang w:eastAsia="pl-PL"/>
          <w14:ligatures w14:val="none"/>
        </w:rPr>
        <w:t>Bogate dziedzictwo kulturowe Pomorza, sprzyja też aktywizacji lokalnych społeczności. Rok 2025 był rekordowy pod względem liczby zorganizowanych imprez w centrach, domach, ośrodkach kultury, klubach i świetlicach</w:t>
      </w:r>
      <w:r w:rsidRPr="007E08F7">
        <w:t xml:space="preserve"> – </w:t>
      </w:r>
      <w:r w:rsidRPr="007E08F7">
        <w:rPr>
          <w:rFonts w:eastAsia="Calibri" w:cs="Aptos"/>
          <w:bCs/>
          <w:kern w:val="0"/>
          <w:lang w:eastAsia="pl-PL"/>
          <w14:ligatures w14:val="none"/>
        </w:rPr>
        <w:t>w prawie 23</w:t>
      </w:r>
      <w:r w:rsidR="008C20FA" w:rsidRPr="007E08F7">
        <w:rPr>
          <w:rFonts w:eastAsia="Calibri" w:cs="Aptos"/>
          <w:bCs/>
          <w:kern w:val="0"/>
          <w:lang w:eastAsia="pl-PL"/>
          <w14:ligatures w14:val="none"/>
        </w:rPr>
        <w:t> </w:t>
      </w:r>
      <w:r w:rsidRPr="007E08F7">
        <w:rPr>
          <w:rFonts w:eastAsia="Calibri" w:cs="Aptos"/>
          <w:bCs/>
          <w:kern w:val="0"/>
          <w:lang w:eastAsia="pl-PL"/>
          <w14:ligatures w14:val="none"/>
        </w:rPr>
        <w:t>tys. wydarzeń uczestniczyło blisko 1,7 mln osób.</w:t>
      </w:r>
      <w:r w:rsidRPr="007E08F7">
        <w:rPr>
          <w:bCs/>
          <w:kern w:val="0"/>
          <w14:ligatures w14:val="none"/>
        </w:rPr>
        <w:t xml:space="preserve"> Tego typu imprezy i wydarzenia </w:t>
      </w:r>
      <w:r w:rsidRPr="007E08F7">
        <w:rPr>
          <w:b/>
          <w:kern w:val="0"/>
          <w14:ligatures w14:val="none"/>
        </w:rPr>
        <w:t>wzmacniają więzi społeczne i budują tożsamość</w:t>
      </w:r>
      <w:r w:rsidRPr="007E08F7">
        <w:rPr>
          <w:bCs/>
          <w:kern w:val="0"/>
          <w14:ligatures w14:val="none"/>
        </w:rPr>
        <w:t xml:space="preserve">. Niewykorzystany jest tu potencjał tzw. miejsc trzecich, czyli nieformalnych przestrzeni spotkań, takich jak świetlice czy biblioteki. Mimo, że poziom czytelnictwa jest relatywnie niski, mogłyby one pełnić inne funkcje np. edukacyjne lub integrujące. Jednak, z powodu braków finansowych i kadrowych potencjał bibliotek bywa niedoceniany. </w:t>
      </w:r>
    </w:p>
    <w:p w14:paraId="09861F86" w14:textId="47D5E863" w:rsidR="00E52C92" w:rsidRPr="007E08F7" w:rsidRDefault="00E52C92">
      <w:pPr>
        <w:numPr>
          <w:ilvl w:val="0"/>
          <w:numId w:val="13"/>
        </w:numPr>
        <w:spacing w:before="120" w:after="120" w:line="288" w:lineRule="auto"/>
        <w:ind w:left="426" w:hanging="426"/>
        <w:rPr>
          <w:kern w:val="0"/>
          <w14:ligatures w14:val="none"/>
        </w:rPr>
      </w:pPr>
      <w:r w:rsidRPr="007E08F7">
        <w:rPr>
          <w:kern w:val="0"/>
          <w14:ligatures w14:val="none"/>
        </w:rPr>
        <w:t>Charakterystyczna dla Pomorza jest duża</w:t>
      </w:r>
      <w:r w:rsidR="003C4E80" w:rsidRPr="007E08F7">
        <w:rPr>
          <w:kern w:val="0"/>
          <w14:ligatures w14:val="none"/>
        </w:rPr>
        <w:t>,</w:t>
      </w:r>
      <w:r w:rsidRPr="007E08F7">
        <w:rPr>
          <w:kern w:val="0"/>
          <w14:ligatures w14:val="none"/>
        </w:rPr>
        <w:t xml:space="preserve"> a zarazem unikatowa w skali kraju aktywność społeczna służąca zachowaniu oraz rozwojowi </w:t>
      </w:r>
      <w:r w:rsidRPr="007E08F7">
        <w:rPr>
          <w:b/>
          <w:bCs/>
          <w:kern w:val="0"/>
          <w14:ligatures w14:val="none"/>
        </w:rPr>
        <w:t>języka regionalnego (kaszubskiego)</w:t>
      </w:r>
      <w:r w:rsidRPr="007E08F7">
        <w:rPr>
          <w:kern w:val="0"/>
          <w14:ligatures w14:val="none"/>
        </w:rPr>
        <w:t>. Choć język kaszubski na poziomie maturalnym pozostaje wyborem niszowym, jego rozwój w ostatnich latach zyskał silne fundamenty instytucjonalne. Przejście od tradycji mówionej do systemowej edukacji, obejmującej tysiące dzieci w przedszkolach i szkołach podstawowych, buduje nową generację świadomych użytkowników tego języka. Skutkiem tego jest szereg inicjatyw, projektów i</w:t>
      </w:r>
      <w:r w:rsidR="008C20FA" w:rsidRPr="007E08F7">
        <w:rPr>
          <w:kern w:val="0"/>
          <w14:ligatures w14:val="none"/>
        </w:rPr>
        <w:t> </w:t>
      </w:r>
      <w:r w:rsidRPr="007E08F7">
        <w:rPr>
          <w:kern w:val="0"/>
          <w14:ligatures w14:val="none"/>
        </w:rPr>
        <w:t xml:space="preserve">przedsięwzięć realizowanych przez instytucje publiczne, organizacje pozarządowe i sektor prywatny. </w:t>
      </w:r>
    </w:p>
    <w:p w14:paraId="79740096" w14:textId="65314874" w:rsidR="00E52C92" w:rsidRPr="007E08F7" w:rsidRDefault="00E52C92">
      <w:pPr>
        <w:numPr>
          <w:ilvl w:val="0"/>
          <w:numId w:val="13"/>
        </w:numPr>
        <w:spacing w:before="120" w:after="120" w:line="288" w:lineRule="auto"/>
        <w:ind w:left="426" w:hanging="426"/>
        <w:rPr>
          <w:kern w:val="0"/>
          <w14:ligatures w14:val="none"/>
        </w:rPr>
      </w:pPr>
      <w:r w:rsidRPr="007E08F7">
        <w:rPr>
          <w:rFonts w:eastAsia="Aptos"/>
          <w:bCs/>
          <w:kern w:val="0"/>
          <w14:ligatures w14:val="none"/>
        </w:rPr>
        <w:t xml:space="preserve">Rośnie </w:t>
      </w:r>
      <w:r w:rsidRPr="007E08F7">
        <w:rPr>
          <w:rFonts w:eastAsia="Aptos"/>
          <w:b/>
          <w:kern w:val="0"/>
          <w14:ligatures w14:val="none"/>
        </w:rPr>
        <w:t>aktywność prospołeczna władz lokalnych</w:t>
      </w:r>
      <w:r w:rsidRPr="007E08F7">
        <w:rPr>
          <w:rFonts w:eastAsia="Aptos"/>
          <w:bCs/>
          <w:kern w:val="0"/>
          <w14:ligatures w14:val="none"/>
        </w:rPr>
        <w:t xml:space="preserve"> w postaci budżetów obywatelskich. Mniej popularna w regionie jest realizacja zadań w ramach </w:t>
      </w:r>
      <w:r w:rsidRPr="007E08F7">
        <w:rPr>
          <w:rFonts w:eastAsia="Aptos"/>
          <w:b/>
          <w:kern w:val="0"/>
          <w14:ligatures w14:val="none"/>
        </w:rPr>
        <w:t>inicjatywy lokalnej</w:t>
      </w:r>
      <w:r w:rsidRPr="007E08F7">
        <w:rPr>
          <w:rFonts w:eastAsia="Aptos"/>
          <w:bCs/>
          <w:kern w:val="0"/>
          <w14:ligatures w14:val="none"/>
        </w:rPr>
        <w:t xml:space="preserve">. Działania te poprzez zaangażowanie społeczne, pozwalają obywatelom mieć realny wpływ </w:t>
      </w:r>
      <w:r w:rsidR="00866600" w:rsidRPr="007E08F7">
        <w:rPr>
          <w:rFonts w:eastAsia="Aptos"/>
          <w:bCs/>
          <w:kern w:val="0"/>
          <w14:ligatures w14:val="none"/>
        </w:rPr>
        <w:t>na</w:t>
      </w:r>
      <w:r w:rsidRPr="007E08F7">
        <w:rPr>
          <w:rFonts w:eastAsia="Aptos"/>
          <w:bCs/>
          <w:kern w:val="0"/>
          <w14:ligatures w14:val="none"/>
        </w:rPr>
        <w:t xml:space="preserve"> przestrzeń i warunki życia. </w:t>
      </w:r>
    </w:p>
    <w:p w14:paraId="7247816F" w14:textId="78D48982"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Istotny wkład w aktywizację mieszkańców, rozwój wolontariatu, świadczenie usług i</w:t>
      </w:r>
      <w:r w:rsidR="008C20FA" w:rsidRPr="007E08F7">
        <w:rPr>
          <w:rFonts w:eastAsia="Aptos"/>
          <w:kern w:val="0"/>
          <w14:ligatures w14:val="none"/>
        </w:rPr>
        <w:t> </w:t>
      </w:r>
      <w:r w:rsidRPr="007E08F7">
        <w:rPr>
          <w:rFonts w:eastAsia="Aptos"/>
          <w:kern w:val="0"/>
          <w14:ligatures w14:val="none"/>
        </w:rPr>
        <w:t xml:space="preserve">budowanie lokalnych więzi </w:t>
      </w:r>
      <w:r w:rsidRPr="007E08F7">
        <w:rPr>
          <w:rFonts w:eastAsia="Aptos"/>
          <w:b/>
          <w:bCs/>
          <w:kern w:val="0"/>
          <w14:ligatures w14:val="none"/>
        </w:rPr>
        <w:t>wnoszą organizacje pozarządowe</w:t>
      </w:r>
      <w:r w:rsidRPr="007E08F7">
        <w:rPr>
          <w:rFonts w:eastAsia="Aptos"/>
          <w:kern w:val="0"/>
          <w14:ligatures w14:val="none"/>
        </w:rPr>
        <w:t>. Działalność pomorskich organizacji pozarządowych (NGO) boryka się z poważnymi deficytami strukturalnymi. Ich praca ma charakter głównie usługowy i powtarzalny, jednak jej efektywność ograniczają stałe braki finansowe, skomplikowane procedury formalne oraz niedobory kompetencyjne wewnątrz organizacji, zwłaszcza w obszarze księgowości. Kluczowym problemem sektora jest niska zdolność instytucjonalna oraz brak trwałości finansowania, co bezpośrednio osłabia proces wzmacniania kapitału społecznego</w:t>
      </w:r>
      <w:r w:rsidRPr="007E08F7">
        <w:rPr>
          <w:rStyle w:val="Odwoanieprzypisudolnego"/>
          <w:rFonts w:eastAsia="Aptos"/>
          <w:kern w:val="0"/>
          <w14:ligatures w14:val="none"/>
        </w:rPr>
        <w:footnoteReference w:id="45"/>
      </w:r>
      <w:r w:rsidRPr="007E08F7">
        <w:rPr>
          <w:rFonts w:eastAsia="Aptos"/>
          <w:kern w:val="0"/>
          <w14:ligatures w14:val="none"/>
        </w:rPr>
        <w:t>.</w:t>
      </w:r>
      <w:r w:rsidRPr="007E08F7">
        <w:t xml:space="preserve"> </w:t>
      </w:r>
    </w:p>
    <w:p w14:paraId="3C3D84C6" w14:textId="46B21366" w:rsidR="00E52C92" w:rsidRPr="007E08F7" w:rsidRDefault="00E52C92">
      <w:pPr>
        <w:numPr>
          <w:ilvl w:val="0"/>
          <w:numId w:val="13"/>
        </w:numPr>
        <w:spacing w:before="120" w:after="120" w:line="288" w:lineRule="auto"/>
        <w:ind w:left="426" w:hanging="426"/>
        <w:rPr>
          <w:rFonts w:eastAsia="Aptos"/>
          <w:kern w:val="0"/>
          <w14:ligatures w14:val="none"/>
        </w:rPr>
      </w:pPr>
      <w:r w:rsidRPr="007E08F7">
        <w:rPr>
          <w:rFonts w:eastAsia="Aptos"/>
          <w:kern w:val="0"/>
          <w14:ligatures w14:val="none"/>
        </w:rPr>
        <w:t xml:space="preserve">Mieszkańcy województwa pomorskiego wykazują </w:t>
      </w:r>
      <w:r w:rsidRPr="007E08F7">
        <w:rPr>
          <w:rFonts w:eastAsia="Aptos"/>
          <w:b/>
          <w:bCs/>
          <w:kern w:val="0"/>
          <w14:ligatures w14:val="none"/>
        </w:rPr>
        <w:t>stabilne zaangażowanie w</w:t>
      </w:r>
      <w:r w:rsidR="008C20FA" w:rsidRPr="007E08F7">
        <w:rPr>
          <w:rFonts w:eastAsia="Aptos"/>
          <w:b/>
          <w:bCs/>
          <w:kern w:val="0"/>
          <w14:ligatures w14:val="none"/>
        </w:rPr>
        <w:t> </w:t>
      </w:r>
      <w:r w:rsidRPr="007E08F7">
        <w:rPr>
          <w:rFonts w:eastAsia="Aptos"/>
          <w:b/>
          <w:bCs/>
          <w:kern w:val="0"/>
          <w14:ligatures w14:val="none"/>
        </w:rPr>
        <w:t>finansowe wspieranie organizacji pożytku publicznego</w:t>
      </w:r>
      <w:r w:rsidRPr="007E08F7">
        <w:rPr>
          <w:rFonts w:eastAsia="Aptos"/>
          <w:kern w:val="0"/>
          <w14:ligatures w14:val="none"/>
        </w:rPr>
        <w:t xml:space="preserve"> (OPP). Odsetek </w:t>
      </w:r>
      <w:r w:rsidRPr="007E08F7">
        <w:rPr>
          <w:rFonts w:eastAsia="Aptos"/>
          <w:kern w:val="0"/>
          <w14:ligatures w14:val="none"/>
        </w:rPr>
        <w:lastRenderedPageBreak/>
        <w:t>podatników odliczających 1,5% PIT na OPP</w:t>
      </w:r>
      <w:r w:rsidR="003C4E80" w:rsidRPr="007E08F7">
        <w:rPr>
          <w:rFonts w:eastAsia="Aptos"/>
          <w:kern w:val="0"/>
          <w14:ligatures w14:val="none"/>
        </w:rPr>
        <w:t xml:space="preserve"> jest porównywalny ze</w:t>
      </w:r>
      <w:r w:rsidRPr="007E08F7">
        <w:rPr>
          <w:rFonts w:eastAsia="Aptos"/>
          <w:kern w:val="0"/>
          <w14:ligatures w14:val="none"/>
        </w:rPr>
        <w:t xml:space="preserve"> średnią krajową. Region ustępuje liderom</w:t>
      </w:r>
      <w:r w:rsidR="003C4E80" w:rsidRPr="007E08F7">
        <w:rPr>
          <w:rFonts w:eastAsia="Aptos"/>
          <w:kern w:val="0"/>
          <w14:ligatures w14:val="none"/>
        </w:rPr>
        <w:t>,</w:t>
      </w:r>
      <w:r w:rsidRPr="007E08F7">
        <w:rPr>
          <w:rFonts w:eastAsia="Aptos"/>
          <w:kern w:val="0"/>
          <w14:ligatures w14:val="none"/>
        </w:rPr>
        <w:t xml:space="preserve"> takim jak województwo śląskie czy mazowieckie, ale utrzymuje wyraźną przewagę nad regionami o najniższej aktywności filantropijnej (np. lubelskim czy świętokrzyskim).</w:t>
      </w:r>
    </w:p>
    <w:p w14:paraId="1F1B66BD" w14:textId="77777777" w:rsidR="00E52C92" w:rsidRPr="007E08F7" w:rsidRDefault="00E52C92" w:rsidP="00A53565">
      <w:pPr>
        <w:pStyle w:val="Nagwek3"/>
      </w:pPr>
      <w:bookmarkStart w:id="16" w:name="_Toc239772044"/>
      <w:r w:rsidRPr="007E08F7">
        <w:t>Mobilność</w:t>
      </w:r>
      <w:bookmarkEnd w:id="16"/>
    </w:p>
    <w:p w14:paraId="79412D15" w14:textId="560D4411" w:rsidR="00E52C92" w:rsidRPr="007E08F7" w:rsidRDefault="00E52C92">
      <w:pPr>
        <w:numPr>
          <w:ilvl w:val="0"/>
          <w:numId w:val="9"/>
        </w:numPr>
        <w:spacing w:before="120" w:after="120" w:line="288" w:lineRule="auto"/>
        <w:ind w:left="425" w:hanging="425"/>
        <w:rPr>
          <w:b/>
          <w:bCs/>
        </w:rPr>
      </w:pPr>
      <w:r w:rsidRPr="007E08F7">
        <w:rPr>
          <w:bCs/>
        </w:rPr>
        <w:t xml:space="preserve">Najważniejszym czynnikiem mobilności mieszkańców województwa są </w:t>
      </w:r>
      <w:r w:rsidRPr="007E08F7">
        <w:rPr>
          <w:b/>
        </w:rPr>
        <w:t>codzienne dojazdy do pracy i miejsc nauki</w:t>
      </w:r>
      <w:r w:rsidRPr="007E08F7">
        <w:rPr>
          <w:bCs/>
        </w:rPr>
        <w:t xml:space="preserve">. Podróże te stanowią ponad połowę wszystkich przemieszczeń realizowanych przez Pomorzan. </w:t>
      </w:r>
      <w:r w:rsidR="007362B9" w:rsidRPr="007E08F7">
        <w:rPr>
          <w:bCs/>
        </w:rPr>
        <w:t>Publicznym t</w:t>
      </w:r>
      <w:r w:rsidRPr="007E08F7">
        <w:rPr>
          <w:bCs/>
        </w:rPr>
        <w:t>ransportem zbiorowym realizowanych jest 16% wszystkich podróży mieszkańców województwa (24% podróży mieszkańców Trójmiasta)</w:t>
      </w:r>
      <w:r w:rsidRPr="007E08F7">
        <w:rPr>
          <w:bCs/>
          <w:vertAlign w:val="superscript"/>
        </w:rPr>
        <w:footnoteReference w:id="46"/>
      </w:r>
      <w:r w:rsidRPr="007E08F7">
        <w:rPr>
          <w:bCs/>
        </w:rPr>
        <w:t xml:space="preserve">. </w:t>
      </w:r>
      <w:r w:rsidRPr="007E08F7">
        <w:rPr>
          <w:b/>
        </w:rPr>
        <w:t>Połowa wszystkich podróży w regionie realizowana jest samochodem osobowym</w:t>
      </w:r>
      <w:r w:rsidRPr="007E08F7">
        <w:rPr>
          <w:bCs/>
        </w:rPr>
        <w:t xml:space="preserve">, jedynie w samym Trójmieście udział podróży realizowanych samochodem jest nieco niższy (42%). Dane te wskazują na uzależnienie mobilności mieszkańców od transportu indywidualnego oraz niewystarczającą atrakcyjność </w:t>
      </w:r>
      <w:r w:rsidR="007362B9" w:rsidRPr="007E08F7">
        <w:rPr>
          <w:bCs/>
        </w:rPr>
        <w:t xml:space="preserve">publicznego </w:t>
      </w:r>
      <w:r w:rsidRPr="007E08F7">
        <w:rPr>
          <w:bCs/>
        </w:rPr>
        <w:t>transportu</w:t>
      </w:r>
      <w:r w:rsidR="007362B9" w:rsidRPr="007E08F7">
        <w:rPr>
          <w:bCs/>
        </w:rPr>
        <w:t xml:space="preserve"> zbiorowego</w:t>
      </w:r>
      <w:r w:rsidRPr="007E08F7">
        <w:rPr>
          <w:bCs/>
        </w:rPr>
        <w:t>, w szczególności poza obszarem metropolitalnym.</w:t>
      </w:r>
    </w:p>
    <w:p w14:paraId="546B8952" w14:textId="75566FF7" w:rsidR="00E52C92" w:rsidRPr="007E08F7" w:rsidRDefault="00E52C92">
      <w:pPr>
        <w:numPr>
          <w:ilvl w:val="0"/>
          <w:numId w:val="9"/>
        </w:numPr>
        <w:spacing w:before="120" w:after="120" w:line="288" w:lineRule="auto"/>
        <w:ind w:left="425" w:hanging="425"/>
      </w:pPr>
      <w:r w:rsidRPr="007E08F7">
        <w:rPr>
          <w:b/>
        </w:rPr>
        <w:t xml:space="preserve">Integracja podsystemów </w:t>
      </w:r>
      <w:r w:rsidR="007362B9" w:rsidRPr="007E08F7">
        <w:rPr>
          <w:b/>
        </w:rPr>
        <w:t xml:space="preserve">publicznego </w:t>
      </w:r>
      <w:r w:rsidRPr="007E08F7">
        <w:rPr>
          <w:b/>
        </w:rPr>
        <w:t xml:space="preserve">transportu zbiorowego i </w:t>
      </w:r>
      <w:r w:rsidR="007362B9" w:rsidRPr="007E08F7">
        <w:rPr>
          <w:b/>
        </w:rPr>
        <w:t xml:space="preserve">transportu </w:t>
      </w:r>
      <w:r w:rsidRPr="007E08F7">
        <w:rPr>
          <w:b/>
        </w:rPr>
        <w:t>indywidualnego jest nadal niewystarczająca</w:t>
      </w:r>
      <w:r w:rsidRPr="007E08F7">
        <w:rPr>
          <w:bCs/>
        </w:rPr>
        <w:t>, a na części obszarów województwa nie występuje w ogóle. Dotyczy to rozwiązań technicznych (infrastrukturalnych i</w:t>
      </w:r>
      <w:r w:rsidR="008C20FA" w:rsidRPr="007E08F7">
        <w:rPr>
          <w:bCs/>
        </w:rPr>
        <w:t> </w:t>
      </w:r>
      <w:r w:rsidRPr="007E08F7">
        <w:rPr>
          <w:bCs/>
        </w:rPr>
        <w:t>taborowych), organizacyjnych, taryfowych, biletowych i informacyjnych.</w:t>
      </w:r>
      <w:r w:rsidRPr="007E08F7">
        <w:t xml:space="preserve"> Niedostateczna integracja systemu transportowego, słaba dostępność połączeń, w</w:t>
      </w:r>
      <w:r w:rsidR="008C20FA" w:rsidRPr="007E08F7">
        <w:t> </w:t>
      </w:r>
      <w:r w:rsidRPr="007E08F7">
        <w:t xml:space="preserve">szczególności poza metropolią oraz rozproszenie odpowiedzialności pomiędzy samorządami ograniczają konkurencyjność </w:t>
      </w:r>
      <w:r w:rsidR="007362B9" w:rsidRPr="007E08F7">
        <w:t xml:space="preserve">publicznego </w:t>
      </w:r>
      <w:r w:rsidRPr="007E08F7">
        <w:t>transportu</w:t>
      </w:r>
      <w:r w:rsidR="007362B9" w:rsidRPr="007E08F7">
        <w:t xml:space="preserve"> zbiorowego</w:t>
      </w:r>
      <w:r w:rsidRPr="007E08F7">
        <w:t xml:space="preserve"> i</w:t>
      </w:r>
      <w:r w:rsidR="008C20FA" w:rsidRPr="007E08F7">
        <w:t> </w:t>
      </w:r>
      <w:r w:rsidRPr="007E08F7">
        <w:t xml:space="preserve">pogłębiają wykluczenie transportowe części obszarów województwa. </w:t>
      </w:r>
    </w:p>
    <w:p w14:paraId="3C7FF105" w14:textId="1472160E" w:rsidR="00E52C92" w:rsidRPr="007E08F7" w:rsidRDefault="00E52C92">
      <w:pPr>
        <w:numPr>
          <w:ilvl w:val="0"/>
          <w:numId w:val="9"/>
        </w:numPr>
        <w:spacing w:before="120" w:after="120" w:line="288" w:lineRule="auto"/>
        <w:ind w:left="425" w:hanging="425"/>
      </w:pPr>
      <w:r w:rsidRPr="007E08F7">
        <w:rPr>
          <w:b/>
          <w:bCs/>
        </w:rPr>
        <w:t>Pomorskie</w:t>
      </w:r>
      <w:r w:rsidRPr="007E08F7">
        <w:t xml:space="preserve"> </w:t>
      </w:r>
      <w:r w:rsidRPr="007E08F7">
        <w:rPr>
          <w:b/>
          <w:bCs/>
        </w:rPr>
        <w:t>wyróżnia się na tle kraju w zakresie roli transportu kolejowego</w:t>
      </w:r>
      <w:r w:rsidRPr="007E08F7">
        <w:t xml:space="preserve">. Wynika to m.in. z uwarunkowań funkcjonalno-przestrzennych, liniowego położenia Trójmiasta i ważnej roli kolei miejskiej. </w:t>
      </w:r>
      <w:r w:rsidRPr="007E08F7">
        <w:rPr>
          <w:bCs/>
        </w:rPr>
        <w:t>Statystyczny Pomorzanin odbywa trzy razy więcej podróży koleją niż przeciętny mieszkaniec Polski, co sprawia, że Pomorskie pod względem wykorzystania kolei (liczba podróży na jednego mieszkańca) od lat zajmuje 1. miejsce w Polsce</w:t>
      </w:r>
      <w:r w:rsidRPr="007E08F7">
        <w:rPr>
          <w:bCs/>
          <w:vertAlign w:val="superscript"/>
        </w:rPr>
        <w:footnoteReference w:id="47"/>
      </w:r>
      <w:r w:rsidRPr="007E08F7">
        <w:rPr>
          <w:bCs/>
        </w:rPr>
        <w:t>. Region charakteryzuje nieco większa gęstość linii kolejowych niż średnio w kraju, a stan infrastruktury kolejowej ulega stopniowej poprawie</w:t>
      </w:r>
      <w:r w:rsidR="007362B9" w:rsidRPr="007E08F7">
        <w:rPr>
          <w:bCs/>
        </w:rPr>
        <w:t>. Z</w:t>
      </w:r>
      <w:r w:rsidRPr="007E08F7">
        <w:rPr>
          <w:bCs/>
        </w:rPr>
        <w:t xml:space="preserve">decydowana większość tras, na których prowadzony jest ruch pasażerski jest w dobrym stanie. Mimo sukcesywnej realizacji programu wymiany pojazdów kolejowych przez samorząd województwa, nadal zachodzi konieczność </w:t>
      </w:r>
      <w:r w:rsidRPr="007E08F7">
        <w:t xml:space="preserve">wymiany </w:t>
      </w:r>
      <w:r w:rsidRPr="007E08F7">
        <w:lastRenderedPageBreak/>
        <w:t>pasażerskiego taboru kolejowego</w:t>
      </w:r>
      <w:r w:rsidR="007362B9" w:rsidRPr="007E08F7">
        <w:t>,</w:t>
      </w:r>
      <w:r w:rsidRPr="007E08F7">
        <w:t xml:space="preserve"> przy jednoczesnym zapewnieniu</w:t>
      </w:r>
      <w:r w:rsidRPr="007E08F7">
        <w:rPr>
          <w:bCs/>
        </w:rPr>
        <w:t xml:space="preserve"> odpowiedniego </w:t>
      </w:r>
      <w:r w:rsidRPr="007E08F7">
        <w:t xml:space="preserve">utrzymania dotychczas zakupionych pojazdów. </w:t>
      </w:r>
    </w:p>
    <w:p w14:paraId="134E2BAE" w14:textId="77777777" w:rsidR="00E52C92" w:rsidRPr="007E08F7" w:rsidRDefault="00E52C92">
      <w:pPr>
        <w:numPr>
          <w:ilvl w:val="0"/>
          <w:numId w:val="9"/>
        </w:numPr>
        <w:spacing w:before="120" w:after="120" w:line="288" w:lineRule="auto"/>
        <w:ind w:left="425" w:hanging="425"/>
      </w:pPr>
      <w:r w:rsidRPr="007E08F7">
        <w:rPr>
          <w:b/>
        </w:rPr>
        <w:t>Rośnie liczba pasażerów korzystających z komunikacji miejskiej</w:t>
      </w:r>
      <w:r w:rsidRPr="007E08F7">
        <w:rPr>
          <w:bCs/>
        </w:rPr>
        <w:t>. Większość miast organizujących transport miejski sukcesywnie wymienia i unowocześnia tabor. Istotną rolę w transporcie miejskim odgrywa kolej miejska obsługująca obszar metropolitalny.</w:t>
      </w:r>
      <w:r w:rsidRPr="007E08F7">
        <w:t xml:space="preserve"> </w:t>
      </w:r>
      <w:r w:rsidRPr="007E08F7">
        <w:rPr>
          <w:bCs/>
        </w:rPr>
        <w:t>W 2025 r. PKP Szybka Kolej Miejska w Trójmieście, obsługująca ruch pasażerski w aglomeracji, przewiozła rekordową liczbę 50 mln pasażerów</w:t>
      </w:r>
      <w:r w:rsidRPr="007E08F7">
        <w:rPr>
          <w:bCs/>
          <w:vertAlign w:val="superscript"/>
        </w:rPr>
        <w:footnoteReference w:id="48"/>
      </w:r>
      <w:r w:rsidRPr="007E08F7">
        <w:rPr>
          <w:bCs/>
        </w:rPr>
        <w:t>.</w:t>
      </w:r>
    </w:p>
    <w:p w14:paraId="38EE640A" w14:textId="284ADB45" w:rsidR="00E52C92" w:rsidRPr="007E08F7" w:rsidRDefault="00E52C92">
      <w:pPr>
        <w:numPr>
          <w:ilvl w:val="0"/>
          <w:numId w:val="9"/>
        </w:numPr>
        <w:spacing w:before="120" w:after="120" w:line="288" w:lineRule="auto"/>
        <w:ind w:left="425" w:hanging="425"/>
        <w:rPr>
          <w:bCs/>
        </w:rPr>
      </w:pPr>
      <w:r w:rsidRPr="007E08F7">
        <w:rPr>
          <w:b/>
          <w:bCs/>
        </w:rPr>
        <w:t xml:space="preserve">Jakość infrastruktury drogowej </w:t>
      </w:r>
      <w:r w:rsidRPr="007E08F7">
        <w:t>w regionie</w:t>
      </w:r>
      <w:r w:rsidRPr="007E08F7">
        <w:rPr>
          <w:b/>
          <w:bCs/>
        </w:rPr>
        <w:t xml:space="preserve"> jest zróżnicowana</w:t>
      </w:r>
      <w:r w:rsidRPr="007E08F7">
        <w:t xml:space="preserve">. </w:t>
      </w:r>
      <w:r w:rsidRPr="007E08F7">
        <w:rPr>
          <w:bCs/>
        </w:rPr>
        <w:t>Gęstość dróg ekspresowych i autostrad pozostaje niższa niż średnio w kraju, a gęstość dróg wojewódzkich odpowiada średniej krajowej. Stan techniczny dróg krajowych w</w:t>
      </w:r>
      <w:r w:rsidR="008C20FA" w:rsidRPr="007E08F7">
        <w:rPr>
          <w:bCs/>
        </w:rPr>
        <w:t> </w:t>
      </w:r>
      <w:r w:rsidRPr="007E08F7">
        <w:rPr>
          <w:bCs/>
        </w:rPr>
        <w:t>regionie jest lepszy niż przeciętnie w Polsce</w:t>
      </w:r>
      <w:r w:rsidRPr="007E08F7">
        <w:rPr>
          <w:bCs/>
          <w:vertAlign w:val="superscript"/>
        </w:rPr>
        <w:footnoteReference w:id="49"/>
      </w:r>
      <w:r w:rsidRPr="007E08F7">
        <w:rPr>
          <w:bCs/>
        </w:rPr>
        <w:t>. Systematycznie poprawia się stan dróg wojewódzkich, natomiast wyzwaniem pozostaje niezadowalający stan dróg powiatowych i gminnych.</w:t>
      </w:r>
    </w:p>
    <w:p w14:paraId="2C80A575" w14:textId="77777777" w:rsidR="00E52C92" w:rsidRPr="007E08F7" w:rsidRDefault="00E52C92">
      <w:pPr>
        <w:numPr>
          <w:ilvl w:val="0"/>
          <w:numId w:val="9"/>
        </w:numPr>
        <w:spacing w:before="120" w:after="120" w:line="288" w:lineRule="auto"/>
        <w:ind w:left="425" w:hanging="425"/>
        <w:rPr>
          <w:bCs/>
        </w:rPr>
      </w:pPr>
      <w:r w:rsidRPr="007E08F7">
        <w:rPr>
          <w:bCs/>
        </w:rPr>
        <w:t xml:space="preserve">Stopniowo </w:t>
      </w:r>
      <w:r w:rsidRPr="007E08F7">
        <w:rPr>
          <w:b/>
        </w:rPr>
        <w:t>poprawia się bezpieczeństwo użytkowników dróg</w:t>
      </w:r>
      <w:r w:rsidRPr="007E08F7">
        <w:rPr>
          <w:bCs/>
        </w:rPr>
        <w:t>. Niestety Pomorskie nadal należy do regionów o najwyższej liczbie wypadków w przeliczeniu na liczbę mieszkańców, ale wskaźnik liczby ofiar śmiertelnych jest niższy niż średnio w kraju.</w:t>
      </w:r>
    </w:p>
    <w:p w14:paraId="5E583A77" w14:textId="5B8DE448" w:rsidR="00E52C92" w:rsidRPr="007E08F7" w:rsidRDefault="00E52C92">
      <w:pPr>
        <w:numPr>
          <w:ilvl w:val="0"/>
          <w:numId w:val="9"/>
        </w:numPr>
        <w:spacing w:before="120" w:after="120" w:line="288" w:lineRule="auto"/>
        <w:ind w:left="425" w:hanging="425"/>
      </w:pPr>
      <w:r w:rsidRPr="007E08F7">
        <w:rPr>
          <w:bCs/>
        </w:rPr>
        <w:t xml:space="preserve">Sukcesywnie </w:t>
      </w:r>
      <w:r w:rsidRPr="007E08F7">
        <w:rPr>
          <w:b/>
        </w:rPr>
        <w:t xml:space="preserve">rozwija się </w:t>
      </w:r>
      <w:proofErr w:type="spellStart"/>
      <w:r w:rsidRPr="007E08F7">
        <w:rPr>
          <w:b/>
        </w:rPr>
        <w:t>elektromobilność</w:t>
      </w:r>
      <w:proofErr w:type="spellEnd"/>
      <w:r w:rsidR="006A73DA" w:rsidRPr="007E08F7">
        <w:rPr>
          <w:bCs/>
        </w:rPr>
        <w:t>,</w:t>
      </w:r>
      <w:r w:rsidR="006A73DA" w:rsidRPr="007E08F7">
        <w:rPr>
          <w:b/>
        </w:rPr>
        <w:t xml:space="preserve"> </w:t>
      </w:r>
      <w:r w:rsidRPr="007E08F7">
        <w:rPr>
          <w:bCs/>
        </w:rPr>
        <w:t>wzrasta udział pojazdów elektrycznych i hybrydowych. Rozwija się także infrastruktura ładowania i tankowania pojazdów na paliwa alternatywne</w:t>
      </w:r>
      <w:r w:rsidRPr="007E08F7">
        <w:rPr>
          <w:bCs/>
          <w:vertAlign w:val="superscript"/>
        </w:rPr>
        <w:footnoteReference w:id="50"/>
      </w:r>
      <w:r w:rsidRPr="007E08F7">
        <w:rPr>
          <w:bCs/>
        </w:rPr>
        <w:t>.</w:t>
      </w:r>
    </w:p>
    <w:p w14:paraId="51B7B6A2" w14:textId="2ABBCC4C" w:rsidR="00E52C92" w:rsidRPr="007E08F7" w:rsidRDefault="00E52C92">
      <w:pPr>
        <w:numPr>
          <w:ilvl w:val="0"/>
          <w:numId w:val="9"/>
        </w:numPr>
        <w:spacing w:before="120" w:after="120" w:line="288" w:lineRule="auto"/>
        <w:ind w:left="425" w:hanging="425"/>
        <w:rPr>
          <w:bCs/>
        </w:rPr>
      </w:pPr>
      <w:r w:rsidRPr="007E08F7">
        <w:rPr>
          <w:bCs/>
        </w:rPr>
        <w:t>Pomorskie</w:t>
      </w:r>
      <w:r w:rsidR="00B91AC0" w:rsidRPr="007E08F7">
        <w:rPr>
          <w:bCs/>
        </w:rPr>
        <w:t>,</w:t>
      </w:r>
      <w:r w:rsidRPr="007E08F7">
        <w:rPr>
          <w:bCs/>
        </w:rPr>
        <w:t xml:space="preserve"> stawiając na rozwój ekologicznego transportu</w:t>
      </w:r>
      <w:r w:rsidR="00B91AC0" w:rsidRPr="007E08F7">
        <w:rPr>
          <w:bCs/>
        </w:rPr>
        <w:t>,</w:t>
      </w:r>
      <w:r w:rsidRPr="007E08F7">
        <w:rPr>
          <w:bCs/>
        </w:rPr>
        <w:t xml:space="preserve"> systematycznie </w:t>
      </w:r>
      <w:r w:rsidRPr="007E08F7">
        <w:rPr>
          <w:b/>
        </w:rPr>
        <w:t xml:space="preserve">rozwija sieć dróg dla rowerów. </w:t>
      </w:r>
      <w:r w:rsidRPr="007E08F7">
        <w:rPr>
          <w:bCs/>
        </w:rPr>
        <w:t>Ich gęstość należy do największych w kraju. Rozwija się również mobilność współdzielona w tym zakresie. W 2023 r. na terenie obszaru metropolitalnego został uruchomiony system bezobsługowych wypożyczalni rowerów miejskich – MEVO i cieszy się rosnącą popularnością. W okresie dwóch latach funkcjonowania systemu liczba zarejestrowanych użytkowników wzrosła do</w:t>
      </w:r>
      <w:r w:rsidR="008C20FA" w:rsidRPr="007E08F7">
        <w:rPr>
          <w:bCs/>
        </w:rPr>
        <w:t> </w:t>
      </w:r>
      <w:r w:rsidRPr="007E08F7">
        <w:rPr>
          <w:bCs/>
        </w:rPr>
        <w:t>630 tys.</w:t>
      </w:r>
      <w:r w:rsidRPr="007E08F7">
        <w:rPr>
          <w:bCs/>
          <w:vertAlign w:val="superscript"/>
        </w:rPr>
        <w:footnoteReference w:id="51"/>
      </w:r>
      <w:r w:rsidRPr="007E08F7">
        <w:rPr>
          <w:bCs/>
        </w:rPr>
        <w:t>.</w:t>
      </w:r>
    </w:p>
    <w:p w14:paraId="020CA146" w14:textId="77777777" w:rsidR="00E52C92" w:rsidRPr="007E08F7" w:rsidRDefault="00E52C92" w:rsidP="00A53565">
      <w:pPr>
        <w:pStyle w:val="Nagwek3"/>
      </w:pPr>
      <w:bookmarkStart w:id="17" w:name="_Toc239772045"/>
      <w:r w:rsidRPr="007E08F7">
        <w:t>Odporność społeczna</w:t>
      </w:r>
      <w:bookmarkEnd w:id="17"/>
    </w:p>
    <w:p w14:paraId="39939913" w14:textId="70EFDAA1" w:rsidR="00E52C92" w:rsidRPr="007E08F7" w:rsidRDefault="00E52C92">
      <w:pPr>
        <w:numPr>
          <w:ilvl w:val="0"/>
          <w:numId w:val="10"/>
        </w:numPr>
        <w:spacing w:before="120" w:after="120" w:line="288" w:lineRule="auto"/>
        <w:ind w:left="426" w:hanging="426"/>
      </w:pPr>
      <w:r w:rsidRPr="007E08F7">
        <w:t xml:space="preserve">Położenie nad Morzem Bałtyckim oraz koncentracja infrastruktury portowej, wojskowej i energetycznej sprawiają, że </w:t>
      </w:r>
      <w:r w:rsidRPr="007E08F7">
        <w:rPr>
          <w:b/>
          <w:bCs/>
        </w:rPr>
        <w:t>Pomorskie ma duże znaczenie strategiczne i militarne dla Polski</w:t>
      </w:r>
      <w:r w:rsidRPr="007E08F7">
        <w:t xml:space="preserve">. Wynika to przede wszystkim z obecności portów w Gdańsku i Gdyni oraz infrastruktury transportowej i energetycznej, która stanowi infrastrukturę krytyczną i może pełnić podwójną funkcję: cywilną </w:t>
      </w:r>
      <w:r w:rsidRPr="007E08F7">
        <w:lastRenderedPageBreak/>
        <w:t>i</w:t>
      </w:r>
      <w:r w:rsidR="008C20FA" w:rsidRPr="007E08F7">
        <w:t> </w:t>
      </w:r>
      <w:r w:rsidRPr="007E08F7">
        <w:t xml:space="preserve">wojskową. W zakresie infrastruktury obronnej, szczególne znaczenie ma baza obrony przeciwrakietowej w Redzikowie pod Słupskiem, stanowiąca element systemu wojskowego NATO, port Marynarki Wojennej w Gdyni oraz bazy lotnictwa wojskowego. </w:t>
      </w:r>
    </w:p>
    <w:p w14:paraId="6E6452E8" w14:textId="61184877" w:rsidR="00E52C92" w:rsidRPr="007E08F7" w:rsidRDefault="00E52C92">
      <w:pPr>
        <w:numPr>
          <w:ilvl w:val="0"/>
          <w:numId w:val="10"/>
        </w:numPr>
        <w:spacing w:before="120" w:after="120" w:line="288" w:lineRule="auto"/>
        <w:ind w:left="426" w:hanging="426"/>
      </w:pPr>
      <w:r w:rsidRPr="007E08F7">
        <w:t xml:space="preserve">Poważnym wyzwaniem dla regionu jest natomiast </w:t>
      </w:r>
      <w:r w:rsidRPr="007E08F7">
        <w:rPr>
          <w:b/>
          <w:bCs/>
        </w:rPr>
        <w:t>niedostatecznie rozwinięta infrastruktura ochrony ludności</w:t>
      </w:r>
      <w:r w:rsidRPr="007E08F7">
        <w:t>. Wg stanu na 2022 r. na Pomorzu zinwentaryzowano 933 budowle ochronne o pojemności około 3% populacji regionu. Sytuowało to województwo poniżej średniej krajowej</w:t>
      </w:r>
      <w:r w:rsidRPr="007E08F7">
        <w:rPr>
          <w:vertAlign w:val="superscript"/>
        </w:rPr>
        <w:footnoteReference w:id="52"/>
      </w:r>
      <w:r w:rsidRPr="007E08F7">
        <w:t>. Z kolei wg stanu na</w:t>
      </w:r>
      <w:r w:rsidR="008C20FA" w:rsidRPr="007E08F7">
        <w:t> </w:t>
      </w:r>
      <w:r w:rsidRPr="007E08F7">
        <w:t>marzec 2025 r. liczba punktów schronienia w regionie wynosiła 3 166 i mogła pomieścić 55,9% mieszkańców</w:t>
      </w:r>
      <w:r w:rsidRPr="007E08F7">
        <w:rPr>
          <w:vertAlign w:val="superscript"/>
        </w:rPr>
        <w:footnoteReference w:id="53"/>
      </w:r>
      <w:r w:rsidRPr="007E08F7">
        <w:t xml:space="preserve">. </w:t>
      </w:r>
    </w:p>
    <w:p w14:paraId="19CD796E" w14:textId="1AF01EEB" w:rsidR="00E52C92" w:rsidRPr="007E08F7" w:rsidRDefault="00E52C92">
      <w:pPr>
        <w:numPr>
          <w:ilvl w:val="0"/>
          <w:numId w:val="10"/>
        </w:numPr>
        <w:spacing w:before="120" w:after="120" w:line="288" w:lineRule="auto"/>
        <w:ind w:left="425" w:hanging="425"/>
      </w:pPr>
      <w:r w:rsidRPr="007E08F7">
        <w:t xml:space="preserve">Gotowość województwa pomorskiego do reagowania na regionalne kryzysy zdrowotne osłabia </w:t>
      </w:r>
      <w:r w:rsidRPr="007E08F7">
        <w:rPr>
          <w:b/>
          <w:bCs/>
        </w:rPr>
        <w:t>niewystarczające przygotowanie</w:t>
      </w:r>
      <w:r w:rsidRPr="007E08F7">
        <w:t xml:space="preserve"> sieci </w:t>
      </w:r>
      <w:r w:rsidRPr="007E08F7">
        <w:rPr>
          <w:b/>
          <w:bCs/>
        </w:rPr>
        <w:t>podmiotów leczniczych</w:t>
      </w:r>
      <w:r w:rsidRPr="007E08F7">
        <w:t xml:space="preserve"> do funkcjonowania w warunkach zagrożeń CBRN</w:t>
      </w:r>
      <w:r w:rsidRPr="007E08F7">
        <w:rPr>
          <w:vertAlign w:val="superscript"/>
        </w:rPr>
        <w:footnoteReference w:id="54"/>
      </w:r>
      <w:r w:rsidRPr="007E08F7">
        <w:t xml:space="preserve"> oraz strukturalne </w:t>
      </w:r>
      <w:r w:rsidRPr="007E08F7">
        <w:rPr>
          <w:b/>
          <w:bCs/>
        </w:rPr>
        <w:t>deficyty kadrowe</w:t>
      </w:r>
      <w:r w:rsidRPr="007E08F7">
        <w:t>. W skali kraju zaledwie 8% szpitali wykazuje pełną zdolność operacyjną w</w:t>
      </w:r>
      <w:r w:rsidR="008C20FA" w:rsidRPr="007E08F7">
        <w:t> </w:t>
      </w:r>
      <w:r w:rsidRPr="007E08F7">
        <w:t>warunkach zagrożeń chemicznych czy radiacyjnych</w:t>
      </w:r>
      <w:r w:rsidRPr="007E08F7">
        <w:rPr>
          <w:vertAlign w:val="superscript"/>
        </w:rPr>
        <w:footnoteReference w:id="55"/>
      </w:r>
      <w:r w:rsidRPr="007E08F7">
        <w:t>, a specyfika terytorialna Pomorza</w:t>
      </w:r>
      <w:r w:rsidR="00B91AC0" w:rsidRPr="007E08F7">
        <w:t xml:space="preserve">, </w:t>
      </w:r>
      <w:r w:rsidRPr="007E08F7">
        <w:t>wynikająca z obecności wspomnianej strategicznej infrastruktury krytycznej</w:t>
      </w:r>
      <w:r w:rsidR="00B91AC0" w:rsidRPr="007E08F7">
        <w:t xml:space="preserve">, </w:t>
      </w:r>
      <w:r w:rsidRPr="007E08F7">
        <w:t>generuje w tym zakresie podwyższone ryzyko. Kluczowy ciężar zabezpieczenia w regionie spoczywa na wąskiej grupie placówek, takich jak Pomorskie Centrum Chorób Zakaźnych i Gruźlicy w Gdańsku oraz Uniwersyteckie Centrum Medycyny Morskiej i Tropikalnej w Gdyni</w:t>
      </w:r>
      <w:r w:rsidRPr="007E08F7">
        <w:rPr>
          <w:vertAlign w:val="superscript"/>
        </w:rPr>
        <w:footnoteReference w:id="56"/>
      </w:r>
      <w:r w:rsidRPr="007E08F7">
        <w:t>. Pomimo relatywnie stabilnej na tle kraju ogólnej dostępności kadr lekarskich (wskaźnik wakatów na poziomie 7,2%</w:t>
      </w:r>
      <w:r w:rsidRPr="007E08F7">
        <w:rPr>
          <w:vertAlign w:val="superscript"/>
        </w:rPr>
        <w:footnoteReference w:id="57"/>
      </w:r>
      <w:r w:rsidRPr="007E08F7">
        <w:t>), systemową odporność regionu ograniczają punktowe braki personelu w</w:t>
      </w:r>
      <w:r w:rsidR="008C20FA" w:rsidRPr="007E08F7">
        <w:t> </w:t>
      </w:r>
      <w:r w:rsidRPr="007E08F7">
        <w:t>obszarze medycyny ratunkowej oraz chorób zakaźnych. Przekładają się one bezpośrednio na trudności w pełnym zabezpieczeniu obsady dyżurowej kluczowych oddziałów.</w:t>
      </w:r>
    </w:p>
    <w:p w14:paraId="7AB84135" w14:textId="2516736B" w:rsidR="00E52C92" w:rsidRPr="007E08F7" w:rsidRDefault="00E52C92">
      <w:pPr>
        <w:numPr>
          <w:ilvl w:val="0"/>
          <w:numId w:val="13"/>
        </w:numPr>
        <w:spacing w:before="120" w:after="120" w:line="288" w:lineRule="auto"/>
        <w:ind w:left="425" w:hanging="425"/>
      </w:pPr>
      <w:r w:rsidRPr="007E08F7">
        <w:t>W ostatnich latach</w:t>
      </w:r>
      <w:r w:rsidRPr="007E08F7">
        <w:rPr>
          <w:b/>
          <w:bCs/>
        </w:rPr>
        <w:t xml:space="preserve"> liczba zdarzeń kryzysowych</w:t>
      </w:r>
      <w:r w:rsidRPr="007E08F7">
        <w:t xml:space="preserve"> w regionie wynosiła ok. 28-35 tys. rocznie. Ich największa koncentracja miała miejsce w Gdańsku, powiecie wejherowskim oraz obszarach o rozwiniętej infrastrukturze przemysłowej </w:t>
      </w:r>
      <w:r w:rsidRPr="007E08F7">
        <w:lastRenderedPageBreak/>
        <w:t>i</w:t>
      </w:r>
      <w:r w:rsidR="008C20FA" w:rsidRPr="007E08F7">
        <w:t> </w:t>
      </w:r>
      <w:r w:rsidRPr="007E08F7">
        <w:t>komunikacyjnej</w:t>
      </w:r>
      <w:r w:rsidRPr="007E08F7">
        <w:rPr>
          <w:vertAlign w:val="superscript"/>
        </w:rPr>
        <w:footnoteReference w:id="58"/>
      </w:r>
      <w:r w:rsidRPr="007E08F7">
        <w:t>, co potwierdza, że presja na służby rośnie przede wszystkim tam, gdzie koncentruje się wysokie zaludnienie, infrastruktura krytyczna, transport i</w:t>
      </w:r>
      <w:r w:rsidR="008C20FA" w:rsidRPr="007E08F7">
        <w:t> </w:t>
      </w:r>
      <w:r w:rsidRPr="007E08F7">
        <w:t>działalność gospodarcza. Oznacza to potrzebę dalszego wzmacniania gotowości operacyjnej służb, samorządów, instytucji publicznych i przedsiębiorstw.</w:t>
      </w:r>
    </w:p>
    <w:p w14:paraId="09AA7CB4" w14:textId="647E23BF" w:rsidR="00E52C92" w:rsidRPr="007E08F7" w:rsidRDefault="00E52C92">
      <w:pPr>
        <w:numPr>
          <w:ilvl w:val="0"/>
          <w:numId w:val="13"/>
        </w:numPr>
        <w:spacing w:before="120" w:after="120" w:line="288" w:lineRule="auto"/>
        <w:ind w:left="425" w:hanging="425"/>
      </w:pPr>
      <w:r w:rsidRPr="007E08F7">
        <w:rPr>
          <w:b/>
          <w:bCs/>
        </w:rPr>
        <w:t>Pomorzanie posiadają niskie kompetencje budujące odporność społeczną.</w:t>
      </w:r>
      <w:r w:rsidRPr="007E08F7">
        <w:t xml:space="preserve"> Większość mieszkańców Pomorza wykazuje się niskim poziomem wiedzy o</w:t>
      </w:r>
      <w:r w:rsidR="008C20FA" w:rsidRPr="007E08F7">
        <w:t> </w:t>
      </w:r>
      <w:r w:rsidRPr="007E08F7">
        <w:t xml:space="preserve">zagrożeniach wojennych, a informacje czerpie głównie z rozproszonych, incydentalnych źródeł. </w:t>
      </w:r>
      <w:r w:rsidR="00B91AC0" w:rsidRPr="007E08F7">
        <w:t>Ograniczona jest</w:t>
      </w:r>
      <w:r w:rsidRPr="007E08F7">
        <w:t xml:space="preserve"> znajomoś</w:t>
      </w:r>
      <w:r w:rsidR="00B91AC0" w:rsidRPr="007E08F7">
        <w:t>ć</w:t>
      </w:r>
      <w:r w:rsidRPr="007E08F7">
        <w:t xml:space="preserve"> sygnałów alarmowych, planów ewakuacji, procedur postępowania w przypadku braku łączności, czy też w sytuacji braku dostępu do mediów. </w:t>
      </w:r>
      <w:r w:rsidR="00B91AC0" w:rsidRPr="007E08F7">
        <w:t>Wzmocnienia wymagają również</w:t>
      </w:r>
      <w:r w:rsidRPr="007E08F7">
        <w:t xml:space="preserve"> </w:t>
      </w:r>
      <w:r w:rsidR="00B91AC0" w:rsidRPr="007E08F7">
        <w:t>kompetencje w</w:t>
      </w:r>
      <w:r w:rsidR="008C20FA" w:rsidRPr="007E08F7">
        <w:t> </w:t>
      </w:r>
      <w:r w:rsidR="00B91AC0" w:rsidRPr="007E08F7">
        <w:t>zakresie</w:t>
      </w:r>
      <w:r w:rsidRPr="007E08F7">
        <w:t xml:space="preserve"> udzielania pierwszej pomocy przedmedycznej, bezpieczeństwa przeciwpożarowego</w:t>
      </w:r>
      <w:r w:rsidR="00B91AC0" w:rsidRPr="007E08F7">
        <w:t xml:space="preserve"> i innych sytuacji kryzysowych</w:t>
      </w:r>
      <w:r w:rsidRPr="007E08F7">
        <w:t>. Mimo to</w:t>
      </w:r>
      <w:r w:rsidR="00B91AC0" w:rsidRPr="007E08F7">
        <w:t>, Pomorzanie</w:t>
      </w:r>
      <w:r w:rsidRPr="007E08F7">
        <w:t xml:space="preserve"> deklarują wysokie postawy patriotyczne i chęć wsparcia działań obronnych</w:t>
      </w:r>
      <w:r w:rsidRPr="007E08F7">
        <w:rPr>
          <w:vertAlign w:val="superscript"/>
        </w:rPr>
        <w:footnoteReference w:id="59"/>
      </w:r>
      <w:r w:rsidRPr="007E08F7">
        <w:t>. Wzrost różnego rodzaju zagrożeń wpływa na stabilność funkcjonowania przedsiębiorstw, a co za tym idzie całej gospodarki. Wymaga to kształtowania kompetencji pracowników i kadr zarządzających związanych z reagowaniem i adaptacyjnością w warunkach niepewności oraz sytuacji kryzysowych.</w:t>
      </w:r>
    </w:p>
    <w:p w14:paraId="6C7EAEF9" w14:textId="77777777" w:rsidR="00E52C92" w:rsidRPr="007E08F7" w:rsidRDefault="00E52C92">
      <w:pPr>
        <w:numPr>
          <w:ilvl w:val="0"/>
          <w:numId w:val="13"/>
        </w:numPr>
        <w:spacing w:before="120" w:after="120" w:line="288" w:lineRule="auto"/>
        <w:ind w:left="425" w:hanging="425"/>
      </w:pPr>
      <w:r w:rsidRPr="007E08F7">
        <w:t xml:space="preserve">Poza ludnością, szczególnie podatne na zagrożenia w sytuacjach kryzysowych, takich jak klęski żywiołowe czy konflikty zbrojne są </w:t>
      </w:r>
      <w:r w:rsidRPr="007E08F7">
        <w:rPr>
          <w:b/>
        </w:rPr>
        <w:t>zasoby dziedzictwa kulturowego</w:t>
      </w:r>
      <w:r w:rsidRPr="007E08F7">
        <w:t xml:space="preserve"> regionu. Brak jednolitych procedur ratowniczych, niedofinansowanie zabezpieczeń w obiektach zabytkowych oraz niewystarczające przygotowanie kadr mogą skutkować bezpowrotną utratą dóbr kultury.</w:t>
      </w:r>
    </w:p>
    <w:p w14:paraId="530B7F64" w14:textId="66B8C0DC" w:rsidR="00E52C92" w:rsidRPr="007E08F7" w:rsidRDefault="00E52C92">
      <w:pPr>
        <w:numPr>
          <w:ilvl w:val="0"/>
          <w:numId w:val="13"/>
        </w:numPr>
        <w:spacing w:before="120" w:after="120" w:line="288" w:lineRule="auto"/>
        <w:ind w:left="425" w:hanging="425"/>
      </w:pPr>
      <w:r w:rsidRPr="007E08F7">
        <w:rPr>
          <w:rStyle w:val="Pogrubienie"/>
          <w:rFonts w:cs="Arial"/>
          <w:b w:val="0"/>
          <w:bCs w:val="0"/>
        </w:rPr>
        <w:t>Przykładem rozwijania</w:t>
      </w:r>
      <w:r w:rsidRPr="007E08F7">
        <w:rPr>
          <w:rStyle w:val="Pogrubienie"/>
          <w:rFonts w:cs="Arial"/>
        </w:rPr>
        <w:t xml:space="preserve"> ponadsektorowej współpracy na rzecz odporności jest </w:t>
      </w:r>
      <w:proofErr w:type="spellStart"/>
      <w:r w:rsidRPr="007E08F7">
        <w:rPr>
          <w:rStyle w:val="Pogrubienie"/>
          <w:rFonts w:cs="Arial"/>
        </w:rPr>
        <w:t>Baltic</w:t>
      </w:r>
      <w:proofErr w:type="spellEnd"/>
      <w:r w:rsidRPr="007E08F7">
        <w:rPr>
          <w:rStyle w:val="Pogrubienie"/>
          <w:rFonts w:cs="Arial"/>
        </w:rPr>
        <w:t xml:space="preserve"> Security </w:t>
      </w:r>
      <w:proofErr w:type="spellStart"/>
      <w:r w:rsidRPr="007E08F7">
        <w:rPr>
          <w:rStyle w:val="Pogrubienie"/>
          <w:rFonts w:cs="Arial"/>
        </w:rPr>
        <w:t>Pact</w:t>
      </w:r>
      <w:proofErr w:type="spellEnd"/>
      <w:r w:rsidRPr="007E08F7">
        <w:rPr>
          <w:rStyle w:val="Pogrubienie"/>
          <w:rFonts w:cs="Arial"/>
        </w:rPr>
        <w:t xml:space="preserve"> </w:t>
      </w:r>
      <w:r w:rsidRPr="007E08F7">
        <w:rPr>
          <w:rStyle w:val="Pogrubienie"/>
          <w:rFonts w:cs="Arial"/>
          <w:b w:val="0"/>
          <w:bCs w:val="0"/>
        </w:rPr>
        <w:t>(Pakt Bezpieczeństwa dla Bałtyku), podpisany w 2025 r. w</w:t>
      </w:r>
      <w:r w:rsidR="008C20FA" w:rsidRPr="007E08F7">
        <w:rPr>
          <w:rStyle w:val="Pogrubienie"/>
          <w:rFonts w:cs="Arial"/>
          <w:b w:val="0"/>
          <w:bCs w:val="0"/>
        </w:rPr>
        <w:t> </w:t>
      </w:r>
      <w:r w:rsidRPr="007E08F7">
        <w:rPr>
          <w:rStyle w:val="Pogrubienie"/>
          <w:rFonts w:cs="Arial"/>
          <w:b w:val="0"/>
          <w:bCs w:val="0"/>
        </w:rPr>
        <w:t>Gdańsku</w:t>
      </w:r>
      <w:r w:rsidRPr="007E08F7">
        <w:t xml:space="preserve">. To strategiczne, wielosektorowe porozumienie zostało zawarte podczas konferencji </w:t>
      </w:r>
      <w:proofErr w:type="spellStart"/>
      <w:r w:rsidRPr="007E08F7">
        <w:t>BeSecure</w:t>
      </w:r>
      <w:proofErr w:type="spellEnd"/>
      <w:r w:rsidRPr="007E08F7">
        <w:t xml:space="preserve"> przez ponad 20 kluczowych sygnatariuszy reprezentujących regionalne samorządy (w tym władze województwa pomorskiego i Trójmiasta), wiodące uczelnie wyższe, instytucje otoczenia biznesu (m.in. Pomorska Specjalna Strefa Ekonomiczna) oraz krajowe i międzynarodowe firmy technologiczne. Jego celem są wspólne inicjatywy w zakresie bezpieczeństwa cyfrowego, infrastrukturalnego i społecznego. Pakt może stanowić fundament pod nowy model regionalnej ochrony, oparty na szybkiej wymianie informacji o zagrożeniach hybrydowych oraz ścisłej koordynacji działań między sektorem publicznym, nauką a</w:t>
      </w:r>
      <w:r w:rsidR="008C20FA" w:rsidRPr="007E08F7">
        <w:t> </w:t>
      </w:r>
      <w:r w:rsidRPr="007E08F7">
        <w:t>biznesem.</w:t>
      </w:r>
    </w:p>
    <w:p w14:paraId="7B22FFC2" w14:textId="69842CD6" w:rsidR="00E52C92" w:rsidRPr="007E08F7" w:rsidRDefault="005A16F7" w:rsidP="002774ED">
      <w:pPr>
        <w:pStyle w:val="Nagwek2"/>
      </w:pPr>
      <w:bookmarkStart w:id="18" w:name="_Toc239772046"/>
      <w:r w:rsidRPr="007E08F7">
        <w:lastRenderedPageBreak/>
        <w:t xml:space="preserve">Sytuacja klimatyczno-środowiskowa </w:t>
      </w:r>
      <w:r w:rsidR="00B64E0B" w:rsidRPr="007E08F7">
        <w:t>P</w:t>
      </w:r>
      <w:r w:rsidRPr="007E08F7">
        <w:t>omorza</w:t>
      </w:r>
      <w:bookmarkEnd w:id="18"/>
    </w:p>
    <w:p w14:paraId="08BAACEA" w14:textId="77777777" w:rsidR="00E52C92" w:rsidRPr="007E08F7" w:rsidRDefault="00E52C92" w:rsidP="00A53565">
      <w:pPr>
        <w:pStyle w:val="Nagwek3"/>
      </w:pPr>
      <w:bookmarkStart w:id="19" w:name="_Toc239772047"/>
      <w:r w:rsidRPr="007E08F7">
        <w:t>Zmiany klimatu, zagrożenia i adaptacja</w:t>
      </w:r>
      <w:bookmarkEnd w:id="19"/>
    </w:p>
    <w:p w14:paraId="7C885529" w14:textId="45633369" w:rsidR="00E52C92" w:rsidRPr="007E08F7" w:rsidRDefault="00E52C92">
      <w:pPr>
        <w:numPr>
          <w:ilvl w:val="0"/>
          <w:numId w:val="11"/>
        </w:numPr>
        <w:spacing w:before="120" w:after="120" w:line="288" w:lineRule="auto"/>
        <w:ind w:left="426" w:hanging="426"/>
      </w:pPr>
      <w:r w:rsidRPr="007E08F7">
        <w:t xml:space="preserve">Nadmorskie położenie regionu powoduje, że Pomorskie jest szczególnie narażone na </w:t>
      </w:r>
      <w:r w:rsidRPr="007E08F7">
        <w:rPr>
          <w:b/>
          <w:bCs/>
        </w:rPr>
        <w:t xml:space="preserve">skutki zmian klimatu. </w:t>
      </w:r>
      <w:r w:rsidRPr="007E08F7">
        <w:t>Zwiększa się częstotliwość ekstremalnych zjawisk pogodowych</w:t>
      </w:r>
      <w:r w:rsidR="008666B0" w:rsidRPr="007E08F7">
        <w:t>,</w:t>
      </w:r>
      <w:r w:rsidRPr="007E08F7">
        <w:t xml:space="preserve"> takich jak fale upałów, ulewne deszcze, sztormy, burze i nawałnice. Nasila się ryzyko powodzi, podtopień, suszy i erozji brzegów morskich. </w:t>
      </w:r>
    </w:p>
    <w:p w14:paraId="15380307" w14:textId="663E4B0B" w:rsidR="00E52C92" w:rsidRPr="007E08F7" w:rsidRDefault="00E52C92">
      <w:pPr>
        <w:numPr>
          <w:ilvl w:val="0"/>
          <w:numId w:val="11"/>
        </w:numPr>
        <w:spacing w:before="120" w:after="120" w:line="288" w:lineRule="auto"/>
        <w:ind w:left="426" w:hanging="426"/>
      </w:pPr>
      <w:r w:rsidRPr="007E08F7">
        <w:t xml:space="preserve">Jednym ze skutków zmian klimatu jest </w:t>
      </w:r>
      <w:r w:rsidRPr="007E08F7">
        <w:rPr>
          <w:b/>
          <w:bCs/>
        </w:rPr>
        <w:t>systematyczny wzrost poziomu morza</w:t>
      </w:r>
      <w:r w:rsidRPr="007E08F7">
        <w:t xml:space="preserve"> w</w:t>
      </w:r>
      <w:r w:rsidR="008C20FA" w:rsidRPr="007E08F7">
        <w:t> </w:t>
      </w:r>
      <w:r w:rsidRPr="007E08F7">
        <w:t>rejonie południowego Bałtyku, co jest efektem wzrostu temperatury w skali globalnej oraz dominacji w tym obszarze zachodniej, strefowej cyrkulacji atmosfery. W okresie 74 lat pomiarów nastąpił wzrost średniego poziomu morza o 14,8 cm w</w:t>
      </w:r>
      <w:r w:rsidR="008C20FA" w:rsidRPr="007E08F7">
        <w:t> </w:t>
      </w:r>
      <w:r w:rsidRPr="007E08F7">
        <w:t>Świnoujściu i 16,6 cm we Władysławowie</w:t>
      </w:r>
      <w:r w:rsidRPr="007E08F7">
        <w:rPr>
          <w:vertAlign w:val="superscript"/>
        </w:rPr>
        <w:footnoteReference w:id="60"/>
      </w:r>
      <w:r w:rsidRPr="007E08F7">
        <w:t>. Odpowiada to średniemu trendowi na</w:t>
      </w:r>
      <w:r w:rsidR="00A53565" w:rsidRPr="007E08F7">
        <w:t> </w:t>
      </w:r>
      <w:r w:rsidRPr="007E08F7">
        <w:t>dekadę wynoszącemu ok. 1,99 cm w Świnoujściu i 2,24 cm we Władysławowie.</w:t>
      </w:r>
    </w:p>
    <w:p w14:paraId="20D8E435" w14:textId="22F68D1F" w:rsidR="00E52C92" w:rsidRPr="007E08F7" w:rsidRDefault="008666B0">
      <w:pPr>
        <w:numPr>
          <w:ilvl w:val="0"/>
          <w:numId w:val="11"/>
        </w:numPr>
        <w:spacing w:before="120" w:after="120" w:line="288" w:lineRule="auto"/>
        <w:ind w:left="426" w:hanging="426"/>
      </w:pPr>
      <w:r w:rsidRPr="007E08F7">
        <w:t>Z</w:t>
      </w:r>
      <w:r w:rsidR="00E52C92" w:rsidRPr="007E08F7">
        <w:t xml:space="preserve">agrożenia związane ze zmianami klimatu dotyczą zarówno terenów zurbanizowanych (szczególnie miast), infrastruktury technicznej, jak też środowiska naturalnego: plaż, wydm, klifów, siedlisk przyrodniczych. W coraz większym stopniu stają się realnym zagrożeniem dla bezpieczeństwa, zdrowia i dobrostanu mieszkańców, zwierząt hodowlanych i dzikich oraz równowagi cennych ekosystemów Pomorza. Nowe warunki wywierają rosnącą presję na funkcjonowanie rolnictwa i hodowli, zagrażają bezpieczeństwu żywnościowemu, sprawności infrastruktury i usług publicznych, tworząc realne wyzwanie dla gospodarki oraz władz lokalnych i regionalnych. Wskazuje to na potrzebę planowania przestrzennego ograniczającego presję inwestycyjną na najbardziej wrażliwe obszary wybrzeża. </w:t>
      </w:r>
    </w:p>
    <w:p w14:paraId="3BB795BA" w14:textId="77777777" w:rsidR="00E52C92" w:rsidRPr="007E08F7" w:rsidRDefault="00E52C92">
      <w:pPr>
        <w:numPr>
          <w:ilvl w:val="0"/>
          <w:numId w:val="11"/>
        </w:numPr>
        <w:spacing w:before="120" w:after="120" w:line="288" w:lineRule="auto"/>
        <w:ind w:left="426" w:hanging="426"/>
      </w:pPr>
      <w:r w:rsidRPr="007E08F7">
        <w:t xml:space="preserve">Szczególnie wrażliwe na </w:t>
      </w:r>
      <w:r w:rsidRPr="007E08F7">
        <w:rPr>
          <w:b/>
          <w:bCs/>
        </w:rPr>
        <w:t>zakłócenia wywołane zjawiskami ekstremalnymi</w:t>
      </w:r>
      <w:r w:rsidRPr="007E08F7">
        <w:t xml:space="preserve"> są systemy infrastruktury krytycznej, w tym energetyczne, wodno-kanalizacyjne, transportowe, teleinformatyczne i łączności. Ich zakłócenia mogą ograniczać ciągłość funkcjonowania usług publicznych, przedsiębiorstw i służb ratowniczych.</w:t>
      </w:r>
    </w:p>
    <w:p w14:paraId="0CF7DD8F" w14:textId="77777777" w:rsidR="00E52C92" w:rsidRPr="007E08F7" w:rsidRDefault="00E52C92">
      <w:pPr>
        <w:numPr>
          <w:ilvl w:val="0"/>
          <w:numId w:val="11"/>
        </w:numPr>
        <w:spacing w:before="120" w:after="120" w:line="288" w:lineRule="auto"/>
        <w:ind w:left="426" w:hanging="426"/>
      </w:pPr>
      <w:r w:rsidRPr="007E08F7">
        <w:rPr>
          <w:b/>
          <w:bCs/>
        </w:rPr>
        <w:t>Ryzyko powodziowe</w:t>
      </w:r>
      <w:r w:rsidRPr="007E08F7">
        <w:t xml:space="preserve"> nadal pozostaje szczególnie istotne na obszarach wrażliwych hydrologicznie, zwłaszcza na Żuławach Wiślanych, terenach nadmorskich położonych nad Zatoką Gdańską i morzem oraz w zlewniach większości pomorskich rzek. Chociaż w ostatnich latach nie wystąpiły powodzie o zasięgu regionalnym, coraz </w:t>
      </w:r>
      <w:r w:rsidRPr="007E08F7">
        <w:rPr>
          <w:b/>
        </w:rPr>
        <w:t xml:space="preserve">częstsze nawalne opady </w:t>
      </w:r>
      <w:r w:rsidRPr="007E08F7">
        <w:rPr>
          <w:bCs/>
        </w:rPr>
        <w:t>powodują lokalne podtopienia</w:t>
      </w:r>
      <w:r w:rsidRPr="007E08F7">
        <w:t>, zwłaszcza na terenach miejskich. Zwiększają one presję na infrastrukturę i systemy odwodnienia, dlatego coraz większe znaczenie ma lokalne zatrzymywanie wody.</w:t>
      </w:r>
    </w:p>
    <w:p w14:paraId="1BFB7A63" w14:textId="77777777" w:rsidR="00E52C92" w:rsidRPr="007E08F7" w:rsidRDefault="00E52C92">
      <w:pPr>
        <w:numPr>
          <w:ilvl w:val="0"/>
          <w:numId w:val="11"/>
        </w:numPr>
        <w:spacing w:before="120" w:after="120" w:line="288" w:lineRule="auto"/>
        <w:ind w:left="426" w:hanging="426"/>
      </w:pPr>
      <w:r w:rsidRPr="007E08F7">
        <w:lastRenderedPageBreak/>
        <w:t>Rośnie również</w:t>
      </w:r>
      <w:r w:rsidRPr="007E08F7">
        <w:rPr>
          <w:b/>
          <w:bCs/>
        </w:rPr>
        <w:t xml:space="preserve"> </w:t>
      </w:r>
      <w:r w:rsidRPr="007E08F7">
        <w:t>częstotliwość</w:t>
      </w:r>
      <w:r w:rsidRPr="007E08F7">
        <w:rPr>
          <w:b/>
          <w:bCs/>
        </w:rPr>
        <w:t xml:space="preserve"> suszy hydrologicznej i rolniczej</w:t>
      </w:r>
      <w:r w:rsidRPr="007E08F7">
        <w:t xml:space="preserve">, co zwiększa presję na zasoby wodne regionu, bezpieczeństwo żywnościowe i funkcje rolnicze. </w:t>
      </w:r>
    </w:p>
    <w:p w14:paraId="1992EDBA" w14:textId="77777777" w:rsidR="00E52C92" w:rsidRPr="007E08F7" w:rsidRDefault="00E52C92">
      <w:pPr>
        <w:numPr>
          <w:ilvl w:val="0"/>
          <w:numId w:val="11"/>
        </w:numPr>
        <w:spacing w:before="120" w:after="120" w:line="288" w:lineRule="auto"/>
        <w:ind w:left="426" w:hanging="426"/>
      </w:pPr>
      <w:r w:rsidRPr="007E08F7">
        <w:t xml:space="preserve">Skala podejmowanych działań adaptacyjnych </w:t>
      </w:r>
      <w:r w:rsidRPr="007E08F7">
        <w:rPr>
          <w:b/>
          <w:bCs/>
        </w:rPr>
        <w:t>nie odpowiada w pełni potrzebom</w:t>
      </w:r>
      <w:r w:rsidRPr="007E08F7">
        <w:t xml:space="preserve"> wynikającym z rosnącej zmienności warunków środowiskowych. Dotyczy to zwłaszcza retencji, ochrony zasobów wodnych, wykorzystania naturalnych procesów i ekosystemów do ograniczania skutków suszy i podtopień oraz dostosowania infrastruktury do coraz częstszych zjawisk ekstremalnych.</w:t>
      </w:r>
    </w:p>
    <w:p w14:paraId="34B6B02B" w14:textId="77777777" w:rsidR="00E52C92" w:rsidRPr="007E08F7" w:rsidRDefault="00E52C92">
      <w:pPr>
        <w:numPr>
          <w:ilvl w:val="0"/>
          <w:numId w:val="11"/>
        </w:numPr>
        <w:spacing w:before="120" w:after="120" w:line="288" w:lineRule="auto"/>
        <w:ind w:left="426" w:hanging="426"/>
      </w:pPr>
      <w:r w:rsidRPr="007E08F7">
        <w:t xml:space="preserve">Podatność na skutki zagrożeń środowiskowych pogłębia </w:t>
      </w:r>
      <w:r w:rsidRPr="007E08F7">
        <w:rPr>
          <w:b/>
          <w:bCs/>
        </w:rPr>
        <w:t>bardzo niska pojemność infrastruktury małej retencji</w:t>
      </w:r>
      <w:r w:rsidRPr="007E08F7">
        <w:t>, wynosząca ok. 30% średniej krajowej w przeliczeniu na 1 km². Mimo szybkiego wzrostu liczby obiektów retencyjnych w ostatnich latach, ich pojemność zwiększyła się jednak nieznacznie, ponieważ rozwój retencji ma głównie charakter lokalny i rozproszony. Wskazuje to na przewagę mniejszych inwestycji służących ograniczaniu skutków gwałtownych opadów i suszy.</w:t>
      </w:r>
    </w:p>
    <w:p w14:paraId="5F9132EB" w14:textId="3667B09F" w:rsidR="00E52C92" w:rsidRPr="007E08F7" w:rsidRDefault="00E52C92">
      <w:pPr>
        <w:numPr>
          <w:ilvl w:val="0"/>
          <w:numId w:val="11"/>
        </w:numPr>
        <w:spacing w:before="120" w:after="120" w:line="288" w:lineRule="auto"/>
        <w:ind w:left="426" w:hanging="426"/>
      </w:pPr>
      <w:r w:rsidRPr="007E08F7">
        <w:t>Zmienność warunków klimatycznych i hydrologicznych oddziałuje również na</w:t>
      </w:r>
      <w:r w:rsidR="00A53565" w:rsidRPr="007E08F7">
        <w:t> </w:t>
      </w:r>
      <w:r w:rsidRPr="007E08F7">
        <w:rPr>
          <w:b/>
          <w:bCs/>
        </w:rPr>
        <w:t>funkcjonowanie systemów wodno-kanalizacyjnych</w:t>
      </w:r>
      <w:r w:rsidRPr="007E08F7">
        <w:t>. Nawalne opady i podtopienia zwiększają obciążenie kanalizacji, natomiast okresy suszy wpływają na</w:t>
      </w:r>
      <w:r w:rsidR="00A53565" w:rsidRPr="007E08F7">
        <w:t> </w:t>
      </w:r>
      <w:r w:rsidRPr="007E08F7">
        <w:t>dostępność zasobów wodnych oraz warunki odbioru i oczyszczania ścieków. Rosnąca skala tych zjawisk zwiększa podatność infrastruktury na zakłócenia.</w:t>
      </w:r>
    </w:p>
    <w:p w14:paraId="605B3E48" w14:textId="1E0111AF" w:rsidR="00E52C92" w:rsidRPr="007E08F7" w:rsidRDefault="00E52C92">
      <w:pPr>
        <w:numPr>
          <w:ilvl w:val="0"/>
          <w:numId w:val="11"/>
        </w:numPr>
        <w:spacing w:before="120" w:after="120" w:line="288" w:lineRule="auto"/>
        <w:ind w:left="426" w:hanging="426"/>
      </w:pPr>
      <w:r w:rsidRPr="007E08F7">
        <w:t xml:space="preserve">Pomorskie należy do regionów o </w:t>
      </w:r>
      <w:r w:rsidRPr="007E08F7">
        <w:rPr>
          <w:b/>
          <w:bCs/>
        </w:rPr>
        <w:t>wysokim poziomie wyposażenia w podstawową infrastrukturę</w:t>
      </w:r>
      <w:r w:rsidRPr="007E08F7">
        <w:t xml:space="preserve"> wodociągową (96,9% mieszkańców jest przyłączonych do sieci) i</w:t>
      </w:r>
      <w:r w:rsidR="00EF655B" w:rsidRPr="007E08F7">
        <w:t> </w:t>
      </w:r>
      <w:r w:rsidRPr="007E08F7">
        <w:t>kanalizacyjną (85,0%), przy szczególnie wysokim na tle kraju poziomie skanalizowania obszarów wiejskich (68,2%), co stawia region w pozycji lidera na tle Polski. Dostęp do oczyszczalni ścieków pozostaje na Pomorzu również bardzo wysoki – 83,6% mieszkańców jest obsługiwanych przez oczyszczalnie (2. miejsce w</w:t>
      </w:r>
      <w:r w:rsidR="00EF655B" w:rsidRPr="007E08F7">
        <w:t> </w:t>
      </w:r>
      <w:r w:rsidRPr="007E08F7">
        <w:t>kraju). Jednakże systemy odbioru i oczyszczania ścieków wymagają szeregu inwestycji wynikających z przepisów prawa. Na koniec 2024 r. zgodności z obecnie obowiązującą dyrektywą UE z 1991 r. w sprawie oczyszczania ścieków w różnym stopniu nie spełniało 36 aglomeracji położonych w województwie pomorskim</w:t>
      </w:r>
      <w:r w:rsidRPr="007E08F7">
        <w:rPr>
          <w:vertAlign w:val="superscript"/>
        </w:rPr>
        <w:footnoteReference w:id="61"/>
      </w:r>
      <w:r w:rsidRPr="007E08F7">
        <w:t xml:space="preserve">. </w:t>
      </w:r>
      <w:r w:rsidR="008666B0" w:rsidRPr="007E08F7">
        <w:t>W</w:t>
      </w:r>
      <w:r w:rsidRPr="007E08F7">
        <w:t xml:space="preserve">eszła </w:t>
      </w:r>
      <w:r w:rsidR="008666B0" w:rsidRPr="007E08F7">
        <w:t xml:space="preserve">również </w:t>
      </w:r>
      <w:r w:rsidRPr="007E08F7">
        <w:t>w życie nowa dyrektywa UE dotycząca oczyszczania ścieków komunalnych i bardzo dużym wyzwaniem będzie dostosowanie systemów odbioru i</w:t>
      </w:r>
      <w:r w:rsidR="00EF655B" w:rsidRPr="007E08F7">
        <w:t> </w:t>
      </w:r>
      <w:r w:rsidRPr="007E08F7">
        <w:t>oczyszczania ścieków do jej wymagań</w:t>
      </w:r>
      <w:r w:rsidRPr="007E08F7">
        <w:rPr>
          <w:vertAlign w:val="superscript"/>
        </w:rPr>
        <w:footnoteReference w:id="62"/>
      </w:r>
      <w:r w:rsidRPr="007E08F7">
        <w:t>. Chociaż proces ten będzie rozłożony w</w:t>
      </w:r>
      <w:r w:rsidR="00EF655B" w:rsidRPr="007E08F7">
        <w:t> </w:t>
      </w:r>
      <w:r w:rsidRPr="007E08F7">
        <w:t>czasie, będzie wymagał znacznych nakładów finansowych. W pierwszej kolejności zgodność z dyrektywą powinny uzyskać największe oczyszczalnie ścieków.</w:t>
      </w:r>
    </w:p>
    <w:p w14:paraId="277132FD" w14:textId="498FF631" w:rsidR="00E52C92" w:rsidRPr="007E08F7" w:rsidRDefault="00E52C92">
      <w:pPr>
        <w:numPr>
          <w:ilvl w:val="0"/>
          <w:numId w:val="11"/>
        </w:numPr>
        <w:spacing w:before="120" w:after="120" w:line="288" w:lineRule="auto"/>
        <w:ind w:left="426" w:hanging="426"/>
      </w:pPr>
      <w:r w:rsidRPr="007E08F7">
        <w:lastRenderedPageBreak/>
        <w:t>Rozwinięta infrastruktura wodno-kanalizacyjna stanowi istotny czynnik jakości życia, atrakcyjności osiedleńczej oraz bezpieczeństwa sanitarnego regionu. Ma</w:t>
      </w:r>
      <w:r w:rsidR="00EF655B" w:rsidRPr="007E08F7">
        <w:t> </w:t>
      </w:r>
      <w:r w:rsidRPr="007E08F7">
        <w:t>także znaczenie środowiskowe, ponieważ ogranicza presję na wody powierzchniowe i podziemne, obszary cenne przyrodniczo oraz strefę nadmorską. Jest to szczególnie ważne w województwie o dużej jeziorności, rozbudowanej sieci rzecznej, dostępie do Morza Bałtyckiego oraz wysokiej presji turystycznej w części obszarów. Wysoki poziom rozwoju infrastruktury komunalnej wzmacnia również odporność regionu, zapewniając podstawy funkcjonowania gospodarstw domowych, przedsiębiorstw i usług publicznych. Jednocześnie w kontekście rosnącej presji klimatycznej, w tym okresowy</w:t>
      </w:r>
      <w:r w:rsidR="00DE7563" w:rsidRPr="007E08F7">
        <w:t>ch</w:t>
      </w:r>
      <w:r w:rsidRPr="007E08F7">
        <w:t xml:space="preserve"> niedobor</w:t>
      </w:r>
      <w:r w:rsidR="00DE7563" w:rsidRPr="007E08F7">
        <w:t>ów</w:t>
      </w:r>
      <w:r w:rsidRPr="007E08F7">
        <w:t xml:space="preserve"> wody i intensywny</w:t>
      </w:r>
      <w:r w:rsidR="00DE7563" w:rsidRPr="007E08F7">
        <w:t>ch</w:t>
      </w:r>
      <w:r w:rsidRPr="007E08F7">
        <w:t xml:space="preserve"> opad</w:t>
      </w:r>
      <w:r w:rsidR="00DE7563" w:rsidRPr="007E08F7">
        <w:t>ów</w:t>
      </w:r>
      <w:r w:rsidRPr="007E08F7">
        <w:t>, istotne pozostają: stan techniczny sieci, straty wody oraz potrzeby budowy nowych i modernizacji istniejących oczyszczalni ścieków, ze szczególnym uwzględnieniem rozbudowy ich zdolności przepustowych.</w:t>
      </w:r>
    </w:p>
    <w:p w14:paraId="075BD844" w14:textId="6E6225E7" w:rsidR="00E52C92" w:rsidRPr="007E08F7" w:rsidRDefault="00E52C92">
      <w:pPr>
        <w:numPr>
          <w:ilvl w:val="0"/>
          <w:numId w:val="11"/>
        </w:numPr>
        <w:spacing w:before="120" w:after="120" w:line="288" w:lineRule="auto"/>
        <w:ind w:left="426" w:hanging="426"/>
      </w:pPr>
      <w:r w:rsidRPr="007E08F7">
        <w:t xml:space="preserve">Systematycznie </w:t>
      </w:r>
      <w:r w:rsidRPr="007E08F7">
        <w:rPr>
          <w:b/>
          <w:bCs/>
        </w:rPr>
        <w:t>rośnie zużycie wody</w:t>
      </w:r>
      <w:r w:rsidRPr="007E08F7">
        <w:t xml:space="preserve"> w gospodarstwach domowych na mieszkańca, co wskazuje na potrzebę racjonalnego gospodarowania wodą oraz zwiększania bezpieczeństwa ujęć i sieci. Jednocześnie region charakteryzuje się relatywnie niskim na tle kraju poborem wody na potrzeby gospodarki i ludności oraz znaczącymi zasobami eksploatacyjnymi wód podziemnych</w:t>
      </w:r>
      <w:r w:rsidRPr="007E08F7">
        <w:rPr>
          <w:vertAlign w:val="superscript"/>
        </w:rPr>
        <w:footnoteReference w:id="63"/>
      </w:r>
      <w:r w:rsidRPr="007E08F7">
        <w:t>. Bezpieczeństwo wodne regionu staje się przy tym coraz bardziej zróżnicowane przestrzennie, zwłaszcza na obszarach narażonych na suszę, sezonowy wzrost liczby ludności i</w:t>
      </w:r>
      <w:r w:rsidR="00EF655B" w:rsidRPr="007E08F7">
        <w:t> </w:t>
      </w:r>
      <w:r w:rsidRPr="007E08F7">
        <w:t>przeciążenia infrastruktury.</w:t>
      </w:r>
    </w:p>
    <w:p w14:paraId="5AF26BF8" w14:textId="77777777" w:rsidR="00E52C92" w:rsidRPr="007E08F7" w:rsidRDefault="00E52C92" w:rsidP="00A53565">
      <w:pPr>
        <w:pStyle w:val="Nagwek3"/>
      </w:pPr>
      <w:bookmarkStart w:id="20" w:name="_Toc239772048"/>
      <w:r w:rsidRPr="007E08F7">
        <w:t>Jakość powietrza i niska emisja</w:t>
      </w:r>
      <w:bookmarkEnd w:id="20"/>
    </w:p>
    <w:p w14:paraId="2124DDEA" w14:textId="77777777" w:rsidR="00E52C92" w:rsidRPr="007E08F7" w:rsidRDefault="00E52C92">
      <w:pPr>
        <w:numPr>
          <w:ilvl w:val="0"/>
          <w:numId w:val="14"/>
        </w:numPr>
        <w:spacing w:before="120" w:after="120" w:line="288" w:lineRule="auto"/>
        <w:ind w:left="426" w:hanging="426"/>
      </w:pPr>
      <w:r w:rsidRPr="007E08F7">
        <w:rPr>
          <w:b/>
          <w:bCs/>
        </w:rPr>
        <w:t>Jakość powietrza</w:t>
      </w:r>
      <w:r w:rsidRPr="007E08F7">
        <w:t xml:space="preserve"> w województwie pomorskim jest </w:t>
      </w:r>
      <w:r w:rsidRPr="007E08F7">
        <w:rPr>
          <w:b/>
          <w:bCs/>
        </w:rPr>
        <w:t>relatywnie korzystna na tle kraju</w:t>
      </w:r>
      <w:r w:rsidRPr="007E08F7">
        <w:t>. Na przeważającym obszarze regionu stężenia podstawowych zanieczyszczeń, w tym pyłów PM10 i PM2,5, dwutlenku azotu, tlenku węgla, benzenu oraz metali zawartych w pyle PM10, utrzymują się poniżej poziomów dopuszczalnych lub docelowych.</w:t>
      </w:r>
    </w:p>
    <w:p w14:paraId="1E62252A" w14:textId="43975F08" w:rsidR="00E52C92" w:rsidRPr="007E08F7" w:rsidRDefault="00E52C92">
      <w:pPr>
        <w:numPr>
          <w:ilvl w:val="0"/>
          <w:numId w:val="14"/>
        </w:numPr>
        <w:spacing w:before="120" w:after="120" w:line="288" w:lineRule="auto"/>
        <w:ind w:left="426" w:hanging="426"/>
      </w:pPr>
      <w:r w:rsidRPr="007E08F7">
        <w:t xml:space="preserve">Największym </w:t>
      </w:r>
      <w:r w:rsidRPr="007E08F7">
        <w:rPr>
          <w:b/>
          <w:bCs/>
        </w:rPr>
        <w:t xml:space="preserve">problemem pozostaje emisja </w:t>
      </w:r>
      <w:proofErr w:type="spellStart"/>
      <w:r w:rsidRPr="007E08F7">
        <w:rPr>
          <w:b/>
          <w:bCs/>
        </w:rPr>
        <w:t>benzo</w:t>
      </w:r>
      <w:proofErr w:type="spellEnd"/>
      <w:r w:rsidRPr="007E08F7">
        <w:rPr>
          <w:b/>
          <w:bCs/>
        </w:rPr>
        <w:t>(a)</w:t>
      </w:r>
      <w:proofErr w:type="spellStart"/>
      <w:r w:rsidRPr="007E08F7">
        <w:rPr>
          <w:b/>
          <w:bCs/>
        </w:rPr>
        <w:t>pirenu</w:t>
      </w:r>
      <w:proofErr w:type="spellEnd"/>
      <w:r w:rsidRPr="007E08F7">
        <w:t xml:space="preserve"> związana głównie z</w:t>
      </w:r>
      <w:r w:rsidR="00EF655B" w:rsidRPr="007E08F7">
        <w:t> </w:t>
      </w:r>
      <w:r w:rsidRPr="007E08F7">
        <w:t>ogrzewaniem budynków paliwami stałymi. Podwyższone stężenia tego zanieczyszczenia występują przede wszystkim w okresie grzewczym, zwłaszcza poza aglomeracją trójmiejską, a ich skala jest zróżnicowana przestrzennie i zależna od warunków pogodowych.</w:t>
      </w:r>
    </w:p>
    <w:p w14:paraId="363876DA" w14:textId="77777777" w:rsidR="00E52C92" w:rsidRPr="007E08F7" w:rsidRDefault="00E52C92">
      <w:pPr>
        <w:keepLines/>
        <w:numPr>
          <w:ilvl w:val="0"/>
          <w:numId w:val="14"/>
        </w:numPr>
        <w:spacing w:before="120" w:after="120" w:line="288" w:lineRule="auto"/>
        <w:ind w:left="426" w:hanging="426"/>
      </w:pPr>
      <w:r w:rsidRPr="007E08F7">
        <w:lastRenderedPageBreak/>
        <w:t xml:space="preserve">Obowiązujące uchwały antysmogowe przyczyniły się do </w:t>
      </w:r>
      <w:r w:rsidRPr="007E08F7">
        <w:rPr>
          <w:b/>
          <w:bCs/>
        </w:rPr>
        <w:t>stopniowej wymiany nieefektywnych źródeł ciepła</w:t>
      </w:r>
      <w:r w:rsidRPr="007E08F7">
        <w:t>, jednak w regionie nadal pozostaje znaczna liczba urządzeń niespełniających wymaganych standardów. Niska emisja pozostaje więc istotnym źródłem lokalnej presji na zdrowie mieszkańców i jakość środowiska.</w:t>
      </w:r>
    </w:p>
    <w:p w14:paraId="2F3464AF" w14:textId="77777777" w:rsidR="00E52C92" w:rsidRPr="007E08F7" w:rsidRDefault="00E52C92">
      <w:pPr>
        <w:numPr>
          <w:ilvl w:val="0"/>
          <w:numId w:val="14"/>
        </w:numPr>
        <w:spacing w:before="120" w:after="120" w:line="288" w:lineRule="auto"/>
        <w:ind w:left="426" w:hanging="426"/>
      </w:pPr>
      <w:r w:rsidRPr="007E08F7">
        <w:t>Dalsza poprawa jakości powietrza będzie zależała od tempa</w:t>
      </w:r>
      <w:r w:rsidRPr="007E08F7">
        <w:rPr>
          <w:b/>
          <w:bCs/>
        </w:rPr>
        <w:t xml:space="preserve"> wymiany źródeł ciepła</w:t>
      </w:r>
      <w:r w:rsidRPr="007E08F7">
        <w:t xml:space="preserve">, poprawy </w:t>
      </w:r>
      <w:r w:rsidRPr="007E08F7">
        <w:rPr>
          <w:b/>
          <w:bCs/>
        </w:rPr>
        <w:t>efektywności energetycznej budynków</w:t>
      </w:r>
      <w:r w:rsidRPr="007E08F7">
        <w:t xml:space="preserve"> oraz </w:t>
      </w:r>
      <w:r w:rsidRPr="007E08F7">
        <w:rPr>
          <w:b/>
          <w:bCs/>
        </w:rPr>
        <w:t>ograniczania emisji z transportu i działalności gospodarczej</w:t>
      </w:r>
      <w:r w:rsidRPr="007E08F7">
        <w:t>. Znaczenie dalszych działań ograniczających emisje będzie rosło w związku z wdrażaniem nowych, bardziej restrykcyjnych unijnych norm jakości powietrza.</w:t>
      </w:r>
    </w:p>
    <w:p w14:paraId="08075F1A" w14:textId="77777777" w:rsidR="00E52C92" w:rsidRPr="007E08F7" w:rsidRDefault="00E52C92" w:rsidP="00A53565">
      <w:pPr>
        <w:pStyle w:val="Nagwek3"/>
      </w:pPr>
      <w:bookmarkStart w:id="21" w:name="_Toc239772049"/>
      <w:r w:rsidRPr="007E08F7">
        <w:t>Stan zasobów przyrodniczych</w:t>
      </w:r>
      <w:bookmarkEnd w:id="21"/>
    </w:p>
    <w:p w14:paraId="1DD80D8A" w14:textId="4203ECA5" w:rsidR="00E52C92" w:rsidRPr="007E08F7" w:rsidRDefault="00E52C92">
      <w:pPr>
        <w:numPr>
          <w:ilvl w:val="0"/>
          <w:numId w:val="11"/>
        </w:numPr>
        <w:spacing w:before="120" w:after="120" w:line="288" w:lineRule="auto"/>
        <w:ind w:left="426" w:hanging="426"/>
      </w:pPr>
      <w:r w:rsidRPr="007E08F7">
        <w:t xml:space="preserve">Region </w:t>
      </w:r>
      <w:r w:rsidRPr="007E08F7">
        <w:rPr>
          <w:b/>
          <w:bCs/>
        </w:rPr>
        <w:t>wyróżnia się dużą różnorodnością ekosystemów</w:t>
      </w:r>
      <w:r w:rsidRPr="007E08F7">
        <w:t xml:space="preserve">: morskich i przybrzeżnych, jeziornych, rzecznych, leśnych oraz torfowiskowych. System ochrony obejmuje m.in. dwa parki narodowe, dziewięć parków krajobrazowych oraz 110 obszarów Natura 2000. Część tych obszarów jest objęta jednocześnie innymi formami ochrony, w tym Konwencją </w:t>
      </w:r>
      <w:proofErr w:type="spellStart"/>
      <w:r w:rsidRPr="007E08F7">
        <w:t>Ramsarską</w:t>
      </w:r>
      <w:proofErr w:type="spellEnd"/>
      <w:r w:rsidRPr="007E08F7">
        <w:t xml:space="preserve"> dotyczącą mokradeł o znaczeniu międzynarodowym</w:t>
      </w:r>
      <w:r w:rsidR="008666B0" w:rsidRPr="007E08F7">
        <w:t>. S</w:t>
      </w:r>
      <w:r w:rsidRPr="007E08F7">
        <w:t>tatus ten mają Słowiński Park Narodowy oraz Ujście Wisły</w:t>
      </w:r>
      <w:r w:rsidRPr="007E08F7">
        <w:rPr>
          <w:vertAlign w:val="superscript"/>
        </w:rPr>
        <w:footnoteReference w:id="64"/>
      </w:r>
      <w:r w:rsidRPr="007E08F7">
        <w:t>. Słowiński Park Narodowy jest jednym z rezerwatów biosfery, które są częścią Światowej Sieci Rezerwatów Biosfery UNESCO, natomiast Rezerwat Biosfery Bory Tucholskie, to największy polski rezerwat biosfery UNESCO, obejmujący 3195 km².</w:t>
      </w:r>
    </w:p>
    <w:p w14:paraId="048C173E" w14:textId="6940DC01" w:rsidR="00E52C92" w:rsidRPr="007E08F7" w:rsidRDefault="00E52C92">
      <w:pPr>
        <w:numPr>
          <w:ilvl w:val="0"/>
          <w:numId w:val="11"/>
        </w:numPr>
        <w:spacing w:before="120" w:after="120" w:line="288" w:lineRule="auto"/>
        <w:ind w:left="426" w:hanging="426"/>
      </w:pPr>
      <w:r w:rsidRPr="007E08F7">
        <w:t xml:space="preserve">Rosnąca </w:t>
      </w:r>
      <w:r w:rsidRPr="007E08F7">
        <w:rPr>
          <w:b/>
          <w:bCs/>
        </w:rPr>
        <w:t xml:space="preserve">presja na zasoby przyrodnicze </w:t>
      </w:r>
      <w:r w:rsidRPr="007E08F7">
        <w:t xml:space="preserve">zwiększa znaczenie skutecznej ochrony obszarowej. Obszary prawnie chronione obejmują niemal jedną trzecią powierzchni województwa, a ich zasięg w ostatnich latach </w:t>
      </w:r>
      <w:r w:rsidR="008666B0" w:rsidRPr="007E08F7">
        <w:t xml:space="preserve">się </w:t>
      </w:r>
      <w:r w:rsidRPr="007E08F7">
        <w:t xml:space="preserve">zwiększył. Kluczowe znaczenie ma jednak nie tylko skala ochrony, lecz także stan siedlisk i gatunków, zachowanie ciągłości ekologicznej oraz ochrona ekosystemów zależnych od wód, w tym torfowisk, mokradeł, dolin rzecznych i siedlisk przybrzeżnych. Degradacja tych ekosystemów, a także lasów i </w:t>
      </w:r>
      <w:proofErr w:type="spellStart"/>
      <w:r w:rsidRPr="007E08F7">
        <w:t>zadrzewień</w:t>
      </w:r>
      <w:proofErr w:type="spellEnd"/>
      <w:r w:rsidRPr="007E08F7">
        <w:t xml:space="preserve"> ogranicza zdolność środowiska do retencjonowania wody, łagodzenia skutków suszy i podtopień oraz zachowania różnorodności biologicznej. Istotnym problemem dla skutecznej ochrony ekosystemów są również pozostałości z okresu II wojny światowej w postaci zalegających wraków statków z paliwami i substancjami ropopochodnymi oraz broni chemicznej na dnie Morza Bałtyckiego (szczególnie w strefie wód przybrzeżnych).</w:t>
      </w:r>
    </w:p>
    <w:p w14:paraId="0D644A2B" w14:textId="77777777" w:rsidR="00E52C92" w:rsidRPr="007E08F7" w:rsidRDefault="00E52C92" w:rsidP="00A53565">
      <w:pPr>
        <w:pStyle w:val="Nagwek3"/>
      </w:pPr>
      <w:bookmarkStart w:id="22" w:name="_Toc239772050"/>
      <w:r w:rsidRPr="007E08F7">
        <w:lastRenderedPageBreak/>
        <w:t>Antropopresja na obszary wrażliwe</w:t>
      </w:r>
      <w:bookmarkEnd w:id="22"/>
    </w:p>
    <w:p w14:paraId="5B7E0047" w14:textId="77777777" w:rsidR="00E52C92" w:rsidRPr="007E08F7" w:rsidRDefault="00E52C92">
      <w:pPr>
        <w:keepNext/>
        <w:keepLines/>
        <w:numPr>
          <w:ilvl w:val="0"/>
          <w:numId w:val="11"/>
        </w:numPr>
        <w:spacing w:before="120" w:after="120" w:line="288" w:lineRule="auto"/>
        <w:ind w:left="426" w:hanging="426"/>
      </w:pPr>
      <w:r w:rsidRPr="007E08F7">
        <w:t xml:space="preserve">Województwo stoi przed rosnącą potrzebą </w:t>
      </w:r>
      <w:r w:rsidRPr="007E08F7">
        <w:rPr>
          <w:b/>
          <w:bCs/>
        </w:rPr>
        <w:t>godzenia ochrony zasobów przyrodniczych z presją urbanizacyjną, rolniczą, turystyczną, transportową, portową i energetyczną</w:t>
      </w:r>
      <w:r w:rsidRPr="007E08F7">
        <w:t xml:space="preserve">. Szczególnie wrażliwe są obszary nadmorskie, doliny rzeczne, Żuławy, strefy podmiejskie Trójmiasta oraz tereny o wysokiej wartości przyrodniczej. Ok. 3 tys. ha gruntów wymaga rekultywacji z powodu dewastacji lub degradacji, co pokazuje, że część zasobów przyrodniczo-produkcyjnych regionu już wymaga działań naprawczych. Nasilająca się presja inwestycyjna wskazuje na potrzebę planowania przestrzennego uwzględniającego odporność klimatyczną, ochronę korytarzy ekologicznych oraz ograniczanie zabudowy na obszarach zagrożonych. </w:t>
      </w:r>
    </w:p>
    <w:p w14:paraId="0BDD8787" w14:textId="77777777" w:rsidR="00E52C92" w:rsidRPr="007E08F7" w:rsidRDefault="00E52C92">
      <w:pPr>
        <w:numPr>
          <w:ilvl w:val="0"/>
          <w:numId w:val="11"/>
        </w:numPr>
        <w:spacing w:before="120" w:after="120" w:line="288" w:lineRule="auto"/>
        <w:ind w:left="426" w:hanging="426"/>
      </w:pPr>
      <w:r w:rsidRPr="007E08F7">
        <w:t xml:space="preserve">Istotnym wyzwaniem pozostaje </w:t>
      </w:r>
      <w:r w:rsidRPr="007E08F7">
        <w:rPr>
          <w:b/>
          <w:bCs/>
        </w:rPr>
        <w:t>sezonowa koncentracja ruchu turystycznego</w:t>
      </w:r>
      <w:r w:rsidRPr="007E08F7">
        <w:t>, zwłaszcza w pasie nadmorskim, na Półwyspie Helskim, Mierzei Wiślanej oraz na obszarach przyjeziornych. Powoduje ona zwiększoną presję na zasoby wodne, gospodarkę odpadami, transport, stan plaż, wydm i innych cennych siedlisk, a także na jakość życia mieszkańców. Presja ta jest szczególnie widoczna w okresie letnim, gdy liczba użytkowników tych obszarów wyraźnie wzrasta. Wymaga to bardziej zrównoważonych i rozproszonych form turystyki.</w:t>
      </w:r>
    </w:p>
    <w:p w14:paraId="4CA4F074" w14:textId="77777777" w:rsidR="00E52C92" w:rsidRPr="007E08F7" w:rsidRDefault="00E52C92">
      <w:pPr>
        <w:numPr>
          <w:ilvl w:val="0"/>
          <w:numId w:val="11"/>
        </w:numPr>
        <w:spacing w:before="120" w:after="120" w:line="288" w:lineRule="auto"/>
        <w:ind w:left="426" w:hanging="426"/>
      </w:pPr>
      <w:r w:rsidRPr="007E08F7">
        <w:t xml:space="preserve">Zarówno działalność rolnicza poprzez stosowanie nawozów sztucznych oraz środków ochrony roślin, jak również rosnąca liczba użytkowników strefy przybrzeżnej i pojezierzy mogą </w:t>
      </w:r>
      <w:r w:rsidRPr="007E08F7">
        <w:rPr>
          <w:b/>
          <w:bCs/>
        </w:rPr>
        <w:t>zwiększać dopływ zanieczyszczeń i biogenów</w:t>
      </w:r>
      <w:r w:rsidRPr="007E08F7">
        <w:t xml:space="preserve"> </w:t>
      </w:r>
      <w:r w:rsidRPr="007E08F7">
        <w:rPr>
          <w:b/>
          <w:bCs/>
        </w:rPr>
        <w:t>do wód</w:t>
      </w:r>
      <w:r w:rsidRPr="007E08F7">
        <w:t xml:space="preserve">, nasilając presję na ekosystemy wodne oraz podnosząc ryzyko eutrofizacji wód przybrzeżnych i jezior. </w:t>
      </w:r>
    </w:p>
    <w:p w14:paraId="6EA964A2" w14:textId="23328B6E" w:rsidR="00E52C92" w:rsidRPr="007E08F7" w:rsidRDefault="00701D44" w:rsidP="002774ED">
      <w:pPr>
        <w:pStyle w:val="Nagwek2"/>
        <w:rPr>
          <w:szCs w:val="28"/>
        </w:rPr>
      </w:pPr>
      <w:bookmarkStart w:id="23" w:name="_Toc239772051"/>
      <w:r w:rsidRPr="007E08F7">
        <w:t xml:space="preserve">Sytuacja przestrzenna </w:t>
      </w:r>
      <w:r w:rsidR="00B64E0B" w:rsidRPr="007E08F7">
        <w:t>P</w:t>
      </w:r>
      <w:r w:rsidRPr="007E08F7">
        <w:t>omorza</w:t>
      </w:r>
      <w:bookmarkEnd w:id="23"/>
    </w:p>
    <w:p w14:paraId="73869A87" w14:textId="77777777" w:rsidR="00E52C92" w:rsidRPr="007E08F7" w:rsidRDefault="00E52C92" w:rsidP="00A53565">
      <w:pPr>
        <w:pStyle w:val="Nagwek3"/>
      </w:pPr>
      <w:bookmarkStart w:id="24" w:name="_Toc239772052"/>
      <w:r w:rsidRPr="007E08F7">
        <w:t>Dysproporcje rozwoju gospodarczego</w:t>
      </w:r>
      <w:bookmarkEnd w:id="24"/>
    </w:p>
    <w:p w14:paraId="0DE31AAB" w14:textId="750F335B" w:rsidR="00E52C92" w:rsidRPr="007E08F7" w:rsidRDefault="00E52C92">
      <w:pPr>
        <w:numPr>
          <w:ilvl w:val="0"/>
          <w:numId w:val="50"/>
        </w:numPr>
        <w:spacing w:before="120" w:after="120" w:line="288" w:lineRule="auto"/>
        <w:ind w:left="426" w:hanging="426"/>
      </w:pPr>
      <w:r w:rsidRPr="007E08F7">
        <w:rPr>
          <w:b/>
          <w:bCs/>
        </w:rPr>
        <w:t>Poziom rozwoju społeczno-gospodarczego regionu cechuje silne zróżnicowanie przestrzenne</w:t>
      </w:r>
      <w:r w:rsidRPr="007E08F7">
        <w:rPr>
          <w:bCs/>
        </w:rPr>
        <w:t xml:space="preserve">. Największy potencjał </w:t>
      </w:r>
      <w:r w:rsidRPr="007E08F7">
        <w:t xml:space="preserve">koncentruje się przede wszystkim w obszarze metropolitalnym, który pełni kluczową rolę w budowaniu konkurencyjności regionu w układzie krajowym i międzynarodowym. Obszar metropolitalny skupia zasoby B+R, innowacje, </w:t>
      </w:r>
      <w:r w:rsidR="008666B0" w:rsidRPr="007E08F7">
        <w:t xml:space="preserve">potencjał akademicki, </w:t>
      </w:r>
      <w:r w:rsidRPr="007E08F7">
        <w:t xml:space="preserve">porty oraz firmy i miejsca pracy, wykazuje też najwyższą produktywność. </w:t>
      </w:r>
    </w:p>
    <w:p w14:paraId="5C82BBB4" w14:textId="77777777" w:rsidR="00E52C92" w:rsidRPr="007E08F7" w:rsidRDefault="00E52C92">
      <w:pPr>
        <w:numPr>
          <w:ilvl w:val="0"/>
          <w:numId w:val="50"/>
        </w:numPr>
        <w:spacing w:before="120" w:after="120" w:line="288" w:lineRule="auto"/>
        <w:ind w:left="426" w:hanging="426"/>
      </w:pPr>
      <w:r w:rsidRPr="007E08F7">
        <w:rPr>
          <w:b/>
        </w:rPr>
        <w:t>Podregion trójmiejski</w:t>
      </w:r>
      <w:r w:rsidRPr="007E08F7">
        <w:rPr>
          <w:bCs/>
        </w:rPr>
        <w:t xml:space="preserve"> (obejmujący Trójmiasto), będący rdzeniem obszaru metropolitalnego, </w:t>
      </w:r>
      <w:r w:rsidRPr="007E08F7">
        <w:rPr>
          <w:b/>
        </w:rPr>
        <w:t>tworzy ponad połowę regionalnego PKB</w:t>
      </w:r>
      <w:r w:rsidRPr="007E08F7">
        <w:rPr>
          <w:bCs/>
        </w:rPr>
        <w:t xml:space="preserve"> (51,5%), a najmniejszy, chojnicki wnosi 6,2%</w:t>
      </w:r>
      <w:r w:rsidRPr="007E08F7">
        <w:t xml:space="preserve">. Pozostałe trzy podregiony wytwarzają odpowiednio: gdański – 18,8%, starogardzki – 13%, słupski – 10,5% regionalnego PKB. Analiza ostatniej </w:t>
      </w:r>
      <w:r w:rsidRPr="007E08F7">
        <w:lastRenderedPageBreak/>
        <w:t xml:space="preserve">dekady wskazuje, że różnica PKB między Trójmiastem, a pozostałym obszarem regionu pogłębiła się o ok. 3 </w:t>
      </w:r>
      <w:proofErr w:type="spellStart"/>
      <w:r w:rsidRPr="007E08F7">
        <w:t>p.p</w:t>
      </w:r>
      <w:proofErr w:type="spellEnd"/>
      <w:r w:rsidRPr="007E08F7">
        <w:t>.</w:t>
      </w:r>
    </w:p>
    <w:p w14:paraId="1E67E154" w14:textId="2A21686F" w:rsidR="00E52C92" w:rsidRPr="007E08F7" w:rsidRDefault="00E52C92">
      <w:pPr>
        <w:numPr>
          <w:ilvl w:val="0"/>
          <w:numId w:val="50"/>
        </w:numPr>
        <w:spacing w:before="120" w:after="120" w:line="288" w:lineRule="auto"/>
        <w:ind w:left="426" w:hanging="426"/>
      </w:pPr>
      <w:r w:rsidRPr="007E08F7">
        <w:t xml:space="preserve">Poza metropolią potencjał regionu skupiony jest w pozostałych </w:t>
      </w:r>
      <w:r w:rsidRPr="007E08F7">
        <w:rPr>
          <w:b/>
          <w:bCs/>
        </w:rPr>
        <w:t xml:space="preserve">ośrodkach </w:t>
      </w:r>
      <w:proofErr w:type="spellStart"/>
      <w:r w:rsidRPr="007E08F7">
        <w:rPr>
          <w:b/>
          <w:bCs/>
        </w:rPr>
        <w:t>subregionalnych</w:t>
      </w:r>
      <w:proofErr w:type="spellEnd"/>
      <w:r w:rsidRPr="007E08F7">
        <w:rPr>
          <w:b/>
          <w:bCs/>
        </w:rPr>
        <w:t xml:space="preserve"> </w:t>
      </w:r>
      <w:r w:rsidRPr="007E08F7">
        <w:t>i na ich obszarach oddziaływania, z wiodącą rolą obszaru funkcjonalnego Słupska. Wyraźnie słabsza jest koncentracja aktywności gospodarczej na pozostałym obszarze województwa, czyli na obszarach wiejskich i</w:t>
      </w:r>
      <w:r w:rsidR="00EF655B" w:rsidRPr="007E08F7">
        <w:t> </w:t>
      </w:r>
      <w:r w:rsidRPr="007E08F7">
        <w:t xml:space="preserve">w małych miastach. Od lat obserwuje się w nich pogłębianie niekorzystnych procesów społecznych i gospodarczych. Należą do nich przede wszystkim: depopulacja, niższa aktywność gospodarcza, niski poziom inwestycji i kurczenie się rynków pracy. Pokazują to zarówno trendy demograficzne wykazujące spadek populacji, jak i relatywnie niewielka liczba nowych firm oraz poziom bezrobocia. Stopa bezrobocia (rejestrowanego) jest mocno zróżnicowana na poziomie powiatów – ok. 9 </w:t>
      </w:r>
      <w:proofErr w:type="spellStart"/>
      <w:r w:rsidRPr="007E08F7">
        <w:t>p.p</w:t>
      </w:r>
      <w:proofErr w:type="spellEnd"/>
      <w:r w:rsidRPr="007E08F7">
        <w:t xml:space="preserve">. Na skrajnym biegunach znajdują się powiaty: człuchowski z bezrobociem na poziomie 11,5% oraz Sopot – 2,6%. </w:t>
      </w:r>
      <w:r w:rsidRPr="007E08F7">
        <w:rPr>
          <w:bCs/>
        </w:rPr>
        <w:t>Ponadto, koncentracja potencjału regionu w</w:t>
      </w:r>
      <w:r w:rsidR="00EF655B" w:rsidRPr="007E08F7">
        <w:rPr>
          <w:bCs/>
        </w:rPr>
        <w:t> </w:t>
      </w:r>
      <w:r w:rsidRPr="007E08F7">
        <w:rPr>
          <w:bCs/>
        </w:rPr>
        <w:t xml:space="preserve">położonym peryferyjnie względem obszaru województwa Trójmieście powoduje, że dostępność funkcji metropolitalnych z południowych i zachodnich części województwa jest znacznie bardziej ograniczona. </w:t>
      </w:r>
      <w:r w:rsidRPr="007E08F7">
        <w:t>Procesy te pogłębiają obserwowaną marginalizację tych obszarów.</w:t>
      </w:r>
    </w:p>
    <w:p w14:paraId="123C0D70" w14:textId="158D89B2" w:rsidR="00E52C92" w:rsidRPr="007E08F7" w:rsidRDefault="00E52C92">
      <w:pPr>
        <w:numPr>
          <w:ilvl w:val="0"/>
          <w:numId w:val="50"/>
        </w:numPr>
        <w:spacing w:before="120" w:after="120" w:line="288" w:lineRule="auto"/>
        <w:ind w:left="426" w:hanging="426"/>
      </w:pPr>
      <w:r w:rsidRPr="007E08F7">
        <w:t xml:space="preserve">Warto jednak podkreślić </w:t>
      </w:r>
      <w:r w:rsidRPr="007E08F7">
        <w:rPr>
          <w:b/>
          <w:bCs/>
        </w:rPr>
        <w:t xml:space="preserve">strategiczne znaczenie części obszarów </w:t>
      </w:r>
      <w:proofErr w:type="spellStart"/>
      <w:r w:rsidRPr="007E08F7">
        <w:rPr>
          <w:b/>
          <w:bCs/>
        </w:rPr>
        <w:t>pozametropolitalnych</w:t>
      </w:r>
      <w:proofErr w:type="spellEnd"/>
      <w:r w:rsidRPr="007E08F7">
        <w:t xml:space="preserve"> ze względu na ich szczególną rolę w obliczu przemian strukturalnych. Rozwój obecnych i przyszłych funkcji na części z nich może znacząco wpłynąć na dalszy rozwój. W pasie nadmorskim następuje dynamiczny rozwój energetyki wiatrowej, w środkowej części województwa powstają duże instalacje fotowoltaiczne, a na Morzu Bałtyckim rozwija się </w:t>
      </w:r>
      <w:proofErr w:type="spellStart"/>
      <w:r w:rsidRPr="007E08F7">
        <w:t>offshore</w:t>
      </w:r>
      <w:proofErr w:type="spellEnd"/>
      <w:r w:rsidRPr="007E08F7">
        <w:t>. Powoduje to</w:t>
      </w:r>
      <w:r w:rsidR="00EF655B" w:rsidRPr="007E08F7">
        <w:t> </w:t>
      </w:r>
      <w:r w:rsidRPr="007E08F7">
        <w:t>intensyfikację procesów rozwojowych mniejszych portów morskich (Łeba, Ustka i</w:t>
      </w:r>
      <w:r w:rsidR="00EF655B" w:rsidRPr="007E08F7">
        <w:t> </w:t>
      </w:r>
      <w:r w:rsidRPr="007E08F7">
        <w:t>Władysławowo) poszerzając ich funkcje o nowe zadania związane z obsługą tego sektora. Wpłynie to nie tylko na dynamiczny rozwój tych portów, ale również wzmocnienie obszarów ich oddziaływania.</w:t>
      </w:r>
    </w:p>
    <w:p w14:paraId="24DC44D3" w14:textId="6E555A68" w:rsidR="00E52C92" w:rsidRPr="007E08F7" w:rsidRDefault="00E52C92">
      <w:pPr>
        <w:numPr>
          <w:ilvl w:val="0"/>
          <w:numId w:val="50"/>
        </w:numPr>
        <w:spacing w:before="120" w:after="120" w:line="288" w:lineRule="auto"/>
        <w:ind w:left="426" w:hanging="426"/>
      </w:pPr>
      <w:r w:rsidRPr="007E08F7">
        <w:t xml:space="preserve">Jednocześnie, również w strefie nadmorskiej, w lokalizacji Lubiatowo–Kopalino rozpoczęto </w:t>
      </w:r>
      <w:r w:rsidRPr="007E08F7">
        <w:rPr>
          <w:b/>
          <w:bCs/>
        </w:rPr>
        <w:t>budowę elektrowni jądrowej</w:t>
      </w:r>
      <w:r w:rsidRPr="007E08F7">
        <w:t xml:space="preserve">, a skutki ekonomiczne tej inwestycji będą generować korzyści nie tylko dla regionu, ale też dla całego kraju. Należy jednak zaznaczyć, że oprócz niewątpliwych korzyści ekonomicznych (przyciąganie kadr, rozwój infrastruktury technicznej, w tym transportowej oraz napływ kapitału) inwestycje energetyczne będą niosły też szereg </w:t>
      </w:r>
      <w:r w:rsidR="008666B0" w:rsidRPr="007E08F7">
        <w:t>wyzwań</w:t>
      </w:r>
      <w:r w:rsidRPr="007E08F7">
        <w:t xml:space="preserve"> (dla lokalnego rolnictwa, turystyki), w tym środowiskowych (zmiany krajobrazu, presja na stan i jakość różnorodności biologicznej) i napięć społecznych. </w:t>
      </w:r>
    </w:p>
    <w:p w14:paraId="314922E7" w14:textId="51BF967C" w:rsidR="00E52C92" w:rsidRPr="007E08F7" w:rsidRDefault="00E52C92">
      <w:pPr>
        <w:keepLines/>
        <w:numPr>
          <w:ilvl w:val="0"/>
          <w:numId w:val="50"/>
        </w:numPr>
        <w:spacing w:before="120" w:after="120" w:line="288" w:lineRule="auto"/>
        <w:ind w:left="425" w:hanging="425"/>
      </w:pPr>
      <w:r w:rsidRPr="007E08F7">
        <w:lastRenderedPageBreak/>
        <w:t>Innym przykładem obszaru z dużym potencjałem są Żuławy oraz północna i</w:t>
      </w:r>
      <w:r w:rsidR="00EF655B" w:rsidRPr="007E08F7">
        <w:t> </w:t>
      </w:r>
      <w:r w:rsidRPr="007E08F7">
        <w:t>zachodnia część regionu, które stanowią dogodne zaplecze dalszego rozwoju branży rolno-spożywczej. W powiatach: kartuskim, wejherowskim oraz bytowskim lokuje się najwięcej gospodarstw rolnych specjalizujących się w uprawie ziemniaków, których Pomorskie jest znaczącym producentem, natomiast w</w:t>
      </w:r>
      <w:r w:rsidR="00EF655B" w:rsidRPr="007E08F7">
        <w:t> </w:t>
      </w:r>
      <w:r w:rsidRPr="007E08F7">
        <w:t xml:space="preserve">powiatach: malborskim, kwidzyńskim, gdańskim dominują gospodarstwa rolne uprawiające buraki cukrowe. Produkcja żywca wieprzowego skoncentrowana jest głównie w zachodniej i południowo-zachodniej części regionu (w powiatach człuchowskim i bytowskim), ale dotyczy też powiatów centralnych i nadwiślańskich. Domeną nadmorskich powiatów: słupskiego i puckiego jest natomiast przetwórstwo rybne. </w:t>
      </w:r>
    </w:p>
    <w:p w14:paraId="5DCCBFFF" w14:textId="77777777" w:rsidR="00E52C92" w:rsidRPr="007E08F7" w:rsidRDefault="00E52C92" w:rsidP="00A53565">
      <w:pPr>
        <w:pStyle w:val="Nagwek3"/>
      </w:pPr>
      <w:bookmarkStart w:id="25" w:name="_Toc239772053"/>
      <w:r w:rsidRPr="007E08F7">
        <w:t>Polaryzacja demograficzna</w:t>
      </w:r>
      <w:bookmarkEnd w:id="25"/>
    </w:p>
    <w:p w14:paraId="12EE8FCD" w14:textId="36BFC11F" w:rsidR="00E52C92" w:rsidRPr="007E08F7" w:rsidRDefault="00E52C92">
      <w:pPr>
        <w:numPr>
          <w:ilvl w:val="0"/>
          <w:numId w:val="50"/>
        </w:numPr>
        <w:spacing w:before="120" w:after="120" w:line="288" w:lineRule="auto"/>
        <w:ind w:left="426" w:hanging="426"/>
      </w:pPr>
      <w:r w:rsidRPr="007E08F7">
        <w:t xml:space="preserve">Postępująca polaryzacja regionu prowadzi do </w:t>
      </w:r>
      <w:r w:rsidRPr="007E08F7">
        <w:rPr>
          <w:b/>
          <w:bCs/>
        </w:rPr>
        <w:t xml:space="preserve">odpływu mieszkańców z obszarów </w:t>
      </w:r>
      <w:proofErr w:type="spellStart"/>
      <w:r w:rsidRPr="007E08F7">
        <w:rPr>
          <w:b/>
          <w:bCs/>
        </w:rPr>
        <w:t>pozametropolitalnych</w:t>
      </w:r>
      <w:proofErr w:type="spellEnd"/>
      <w:r w:rsidRPr="007E08F7">
        <w:t>. W konsekwencji, część miast średnich i małych oraz obszarów wiejskich mierzy się z depopulacją, osłabieniem lokalnych rynków pracy, ubytkiem bazy podatkowej oraz pogłębiani</w:t>
      </w:r>
      <w:r w:rsidR="004D169F" w:rsidRPr="007E08F7">
        <w:t>em</w:t>
      </w:r>
      <w:r w:rsidRPr="007E08F7">
        <w:t xml:space="preserve"> nierówności w dostępie do usług publicznych. </w:t>
      </w:r>
    </w:p>
    <w:p w14:paraId="650F701B" w14:textId="66ACDA19" w:rsidR="00E52C92" w:rsidRPr="007E08F7" w:rsidRDefault="00E52C92">
      <w:pPr>
        <w:numPr>
          <w:ilvl w:val="0"/>
          <w:numId w:val="50"/>
        </w:numPr>
        <w:spacing w:before="120" w:after="120" w:line="288" w:lineRule="auto"/>
        <w:ind w:left="426" w:hanging="426"/>
      </w:pPr>
      <w:r w:rsidRPr="007E08F7">
        <w:t xml:space="preserve">W ciągu ostatniej dekady </w:t>
      </w:r>
      <w:r w:rsidRPr="007E08F7">
        <w:rPr>
          <w:b/>
          <w:bCs/>
        </w:rPr>
        <w:t>liczba mieszkańców pomorskich miast spadła</w:t>
      </w:r>
      <w:r w:rsidRPr="007E08F7">
        <w:t xml:space="preserve"> łącznie o</w:t>
      </w:r>
      <w:r w:rsidR="00EF655B" w:rsidRPr="007E08F7">
        <w:t> </w:t>
      </w:r>
      <w:r w:rsidRPr="007E08F7">
        <w:t>1,3%. Jedynie w pięciu ośrodkach należących do obszaru metropolitalnego nastąpił wzrost (w Redzie, Rumii, Pruszczu Gdańskim, Gdańsku i Żukowie). Największy spadek liczby ludności dotyczył miast Półwyspu Helskiego, Łeby, Ustki, Sopotu, Miastka i Sztumu. Ponadto, ludność pomorskich miast systematycznie się starzeje. Osoby w wieku poprodukcyjnym stanowią ponad 30% mieszkańców już w</w:t>
      </w:r>
      <w:r w:rsidR="00EF655B" w:rsidRPr="007E08F7">
        <w:t> </w:t>
      </w:r>
      <w:r w:rsidRPr="007E08F7">
        <w:t xml:space="preserve">pięciu z nich tj. w Sopocie, Ustce, Łebie, Miastku i Człuchowie. Maleje też udział osób w wieku przedprodukcyjnym. W Krynicy Morskiej jedynie co 10. mieszkaniec jest w wieku przedprodukcyjnym, w Sopocie udział ten stanowi 12%, w Helu 13%. </w:t>
      </w:r>
    </w:p>
    <w:p w14:paraId="1C4CA456" w14:textId="6B498FCB" w:rsidR="00E52C92" w:rsidRPr="007E08F7" w:rsidRDefault="00E52C92">
      <w:pPr>
        <w:numPr>
          <w:ilvl w:val="0"/>
          <w:numId w:val="50"/>
        </w:numPr>
        <w:spacing w:before="120" w:after="120" w:line="288" w:lineRule="auto"/>
        <w:ind w:left="426" w:hanging="426"/>
      </w:pPr>
      <w:r w:rsidRPr="007E08F7">
        <w:rPr>
          <w:b/>
          <w:bCs/>
        </w:rPr>
        <w:t>Procesy depopulacyjne na wsi nie są tak widoczne jak w miastach</w:t>
      </w:r>
      <w:r w:rsidRPr="007E08F7">
        <w:t>. Dotyczą przede wszystkim słabiej dostępnych obszarów peryferyjnych regionu (Powiśle i</w:t>
      </w:r>
      <w:r w:rsidR="00EF655B" w:rsidRPr="007E08F7">
        <w:t> </w:t>
      </w:r>
      <w:r w:rsidRPr="007E08F7">
        <w:t xml:space="preserve">południowo-zachodnia część regionu), podczas gdy obszary wiejskie w strefach oddziaływania Trójmiasta i innych większych ośrodków miejskich zyskują mieszkańców na skutek </w:t>
      </w:r>
      <w:proofErr w:type="spellStart"/>
      <w:r w:rsidRPr="007E08F7">
        <w:t>suburbanizacji</w:t>
      </w:r>
      <w:proofErr w:type="spellEnd"/>
      <w:r w:rsidRPr="007E08F7">
        <w:t>. W minionej dekadzie, z perspektywy całego regionu</w:t>
      </w:r>
      <w:r w:rsidR="008666B0" w:rsidRPr="007E08F7">
        <w:t>,</w:t>
      </w:r>
      <w:r w:rsidRPr="007E08F7">
        <w:t xml:space="preserve"> liczba ludności na wsi wzrosła o 9%. Są jednak wyludniające się powiaty, w</w:t>
      </w:r>
      <w:r w:rsidR="00EF655B" w:rsidRPr="007E08F7">
        <w:t> </w:t>
      </w:r>
      <w:r w:rsidRPr="007E08F7">
        <w:t>których populacja wsi zmalała tym okresie o 6-10%. Należą do nich powiaty: sztumski, nowodworski, człuchowski i słupski.</w:t>
      </w:r>
    </w:p>
    <w:p w14:paraId="434939A1" w14:textId="2533A45F" w:rsidR="00E52C92" w:rsidRPr="007E08F7" w:rsidRDefault="00E52C92">
      <w:pPr>
        <w:numPr>
          <w:ilvl w:val="0"/>
          <w:numId w:val="50"/>
        </w:numPr>
        <w:spacing w:before="120" w:after="120" w:line="288" w:lineRule="auto"/>
        <w:ind w:left="426" w:hanging="426"/>
      </w:pPr>
      <w:r w:rsidRPr="007E08F7">
        <w:t xml:space="preserve">Prognoza demograficzna wskazuje, że </w:t>
      </w:r>
      <w:r w:rsidRPr="007E08F7">
        <w:rPr>
          <w:b/>
          <w:bCs/>
        </w:rPr>
        <w:t xml:space="preserve">wzrost liczby ludności </w:t>
      </w:r>
      <w:r w:rsidRPr="007E08F7">
        <w:t>nadal</w:t>
      </w:r>
      <w:r w:rsidRPr="007E08F7">
        <w:rPr>
          <w:b/>
          <w:bCs/>
        </w:rPr>
        <w:t xml:space="preserve"> będzie się koncentrował w strefie funkcjonalnej obszaru metropolitalnego i w gminach objętych </w:t>
      </w:r>
      <w:proofErr w:type="spellStart"/>
      <w:r w:rsidRPr="007E08F7">
        <w:rPr>
          <w:b/>
          <w:bCs/>
        </w:rPr>
        <w:t>suburbanizacją</w:t>
      </w:r>
      <w:proofErr w:type="spellEnd"/>
      <w:r w:rsidRPr="007E08F7">
        <w:t xml:space="preserve">. Spadek liczby ludności będzie natomiast dominował </w:t>
      </w:r>
      <w:r w:rsidRPr="007E08F7">
        <w:lastRenderedPageBreak/>
        <w:t>w</w:t>
      </w:r>
      <w:r w:rsidR="00EF655B" w:rsidRPr="007E08F7">
        <w:t> </w:t>
      </w:r>
      <w:r w:rsidRPr="007E08F7">
        <w:t>części zachodniej, południowej, wschodniej oraz w części gmin pasa nadmorskiego</w:t>
      </w:r>
      <w:r w:rsidRPr="007E08F7">
        <w:rPr>
          <w:vertAlign w:val="superscript"/>
        </w:rPr>
        <w:footnoteReference w:id="65"/>
      </w:r>
      <w:r w:rsidRPr="007E08F7">
        <w:t>.</w:t>
      </w:r>
    </w:p>
    <w:p w14:paraId="6B34ACC7" w14:textId="29C9CAC8" w:rsidR="00E52C92" w:rsidRPr="007E08F7" w:rsidRDefault="00E52C92">
      <w:pPr>
        <w:numPr>
          <w:ilvl w:val="0"/>
          <w:numId w:val="50"/>
        </w:numPr>
        <w:spacing w:before="120" w:after="120" w:line="288" w:lineRule="auto"/>
        <w:ind w:left="426" w:hanging="426"/>
      </w:pPr>
      <w:r w:rsidRPr="007E08F7">
        <w:t xml:space="preserve">Dodatnie saldo migracji w województwie kształtowane jest głównie przez </w:t>
      </w:r>
      <w:r w:rsidRPr="007E08F7">
        <w:rPr>
          <w:b/>
          <w:bCs/>
        </w:rPr>
        <w:t>napływ ludności do obszaru metropolitalnego</w:t>
      </w:r>
      <w:r w:rsidRPr="007E08F7">
        <w:t>. Trwały przyrost nowych mieszkańców notuje Gdańsk oraz powiaty: gdański, kartuski, kościerski, lęborski, pucki, słupski, starogardzki i wejherowski. Na drugim biegunie znajdują się powiaty bytowski i</w:t>
      </w:r>
      <w:r w:rsidR="00EF655B" w:rsidRPr="007E08F7">
        <w:t> </w:t>
      </w:r>
      <w:r w:rsidRPr="007E08F7">
        <w:t>sztumski, które borykają się z największym odpływem ludności.</w:t>
      </w:r>
    </w:p>
    <w:p w14:paraId="5ED53F95" w14:textId="563AFD39" w:rsidR="00E52C92" w:rsidRPr="007E08F7" w:rsidRDefault="00E52C92">
      <w:pPr>
        <w:numPr>
          <w:ilvl w:val="0"/>
          <w:numId w:val="50"/>
        </w:numPr>
        <w:spacing w:before="120" w:after="120" w:line="288" w:lineRule="auto"/>
        <w:ind w:left="426" w:hanging="426"/>
      </w:pPr>
      <w:r w:rsidRPr="007E08F7">
        <w:t xml:space="preserve">Zjawiskiem o szczególnym znaczeniu jest </w:t>
      </w:r>
      <w:r w:rsidRPr="007E08F7">
        <w:rPr>
          <w:b/>
          <w:bCs/>
        </w:rPr>
        <w:t>„drenaż kapitału ludzkiego”</w:t>
      </w:r>
      <w:r w:rsidRPr="007E08F7">
        <w:t xml:space="preserve">. Młodzi Pomorzanie opuszczają obszary </w:t>
      </w:r>
      <w:proofErr w:type="spellStart"/>
      <w:r w:rsidRPr="007E08F7">
        <w:t>pozametropolitalne</w:t>
      </w:r>
      <w:proofErr w:type="spellEnd"/>
      <w:r w:rsidRPr="007E08F7">
        <w:t xml:space="preserve"> (zwłaszcza obszary wiejskie Borów Tucholskich i część Kaszub Środkowych), kierując się do Trójmiasta, innych metropolii w kraju lub za granicę. Ten selektywny odpływ ogranicza potencjał rozwojowy mniejszych miast i gmin wiejskich, zwiększa podatność na zmiany gospodarcze, osłabia lokalne rynki pracy i prowadzi do kumulowania negatywnych procesów na obszarach słabszych rozwojowo.</w:t>
      </w:r>
    </w:p>
    <w:p w14:paraId="35F5298C" w14:textId="53942782" w:rsidR="00E52C92" w:rsidRPr="007E08F7" w:rsidRDefault="00E52C92">
      <w:pPr>
        <w:numPr>
          <w:ilvl w:val="0"/>
          <w:numId w:val="50"/>
        </w:numPr>
        <w:spacing w:before="120" w:after="120" w:line="288" w:lineRule="auto"/>
        <w:ind w:left="426" w:hanging="426"/>
      </w:pPr>
      <w:r w:rsidRPr="007E08F7">
        <w:t xml:space="preserve">Efektem migracji zagranicznych jest </w:t>
      </w:r>
      <w:r w:rsidRPr="007E08F7">
        <w:rPr>
          <w:b/>
          <w:bCs/>
        </w:rPr>
        <w:t>zróżnicowanie udziału cudzoziemców w</w:t>
      </w:r>
      <w:r w:rsidR="00EF655B" w:rsidRPr="007E08F7">
        <w:rPr>
          <w:b/>
          <w:bCs/>
        </w:rPr>
        <w:t> </w:t>
      </w:r>
      <w:r w:rsidRPr="007E08F7">
        <w:rPr>
          <w:b/>
          <w:bCs/>
        </w:rPr>
        <w:t>społecznościach lokalnych regionu</w:t>
      </w:r>
      <w:r w:rsidRPr="007E08F7">
        <w:t>. Najwyższy odnotowano w Krynicy Morskiej, gdzie osoby posiadające obywatelstwo inne niż polskie stanowią 22% mieszkańców (300 osób). Kolejne miejsca zajmują Pruszcz Gdański – 19%, Kobylnica – 16%, Żukowo – 16% oraz Ustka – 15%.</w:t>
      </w:r>
    </w:p>
    <w:p w14:paraId="1947A159" w14:textId="2BF553CC" w:rsidR="00E52C92" w:rsidRPr="007E08F7" w:rsidRDefault="00E52C92">
      <w:pPr>
        <w:numPr>
          <w:ilvl w:val="0"/>
          <w:numId w:val="50"/>
        </w:numPr>
        <w:spacing w:before="120" w:after="120" w:line="288" w:lineRule="auto"/>
        <w:ind w:left="426" w:hanging="426"/>
      </w:pPr>
      <w:r w:rsidRPr="007E08F7">
        <w:t xml:space="preserve">Choć pomorski rynek pracy staje się coraz bardziej wielokulturowy, proces ten przebiega w sposób nierównomierny. Najwyższy udział cudzoziemców w ogólnej liczbie pracujących odnotowano w Słupsku (15,2%), Gdańsku (12,4%) oraz powiecie gdańskim (11,5%), co potwierdza silną </w:t>
      </w:r>
      <w:r w:rsidRPr="007E08F7">
        <w:rPr>
          <w:b/>
          <w:bCs/>
        </w:rPr>
        <w:t>koncentrację zagranicznej siły roboczej w</w:t>
      </w:r>
      <w:r w:rsidR="00EF655B" w:rsidRPr="007E08F7">
        <w:rPr>
          <w:b/>
          <w:bCs/>
        </w:rPr>
        <w:t> </w:t>
      </w:r>
      <w:r w:rsidRPr="007E08F7">
        <w:rPr>
          <w:b/>
          <w:bCs/>
        </w:rPr>
        <w:t>głównych ośrodkach miejskich i ich bezpośrednim zapleczu</w:t>
      </w:r>
      <w:r w:rsidRPr="007E08F7">
        <w:t xml:space="preserve"> gospodarczym. Z</w:t>
      </w:r>
      <w:r w:rsidR="00EF655B" w:rsidRPr="007E08F7">
        <w:t> </w:t>
      </w:r>
      <w:r w:rsidRPr="007E08F7">
        <w:t>kolei w powiatach sztumskim (1,3%) oraz malborskim (1,6%), udział imigrantów w</w:t>
      </w:r>
      <w:r w:rsidR="00EF655B" w:rsidRPr="007E08F7">
        <w:t> </w:t>
      </w:r>
      <w:r w:rsidRPr="007E08F7">
        <w:t>lokalnym rynku pracy pozostaje marginalny.</w:t>
      </w:r>
    </w:p>
    <w:p w14:paraId="6C05A3BA" w14:textId="77777777" w:rsidR="00E52C92" w:rsidRPr="007E08F7" w:rsidRDefault="00E52C92">
      <w:pPr>
        <w:numPr>
          <w:ilvl w:val="0"/>
          <w:numId w:val="50"/>
        </w:numPr>
        <w:spacing w:before="120" w:after="120" w:line="288" w:lineRule="auto"/>
        <w:ind w:left="426" w:hanging="426"/>
      </w:pPr>
      <w:r w:rsidRPr="007E08F7">
        <w:t>W gminach tracących mieszkańców może dojść do spadku popytu na usługi, narastania kosztów jednostkowych oraz utraty masy krytycznej niezbędnej do sprawnego funkcjonowania. W mniejszych miastach i na obszarach wiejskich utrzymanie rozbudowanej infrastruktury przy malejącej liczbie mieszkańców stanowić będzie coraz większe obciążenie organizacyjne i finansowe.</w:t>
      </w:r>
    </w:p>
    <w:p w14:paraId="2F6712F4" w14:textId="77777777" w:rsidR="00E52C92" w:rsidRPr="007E08F7" w:rsidRDefault="00E52C92" w:rsidP="00A53565">
      <w:pPr>
        <w:pStyle w:val="Nagwek3"/>
      </w:pPr>
      <w:bookmarkStart w:id="26" w:name="_Toc239772054"/>
      <w:r w:rsidRPr="007E08F7">
        <w:lastRenderedPageBreak/>
        <w:t>Zróżnicowanie warunków życia</w:t>
      </w:r>
      <w:bookmarkEnd w:id="26"/>
    </w:p>
    <w:p w14:paraId="204EE233" w14:textId="5F371358" w:rsidR="00E52C92" w:rsidRPr="007E08F7" w:rsidRDefault="00E52C92">
      <w:pPr>
        <w:keepNext/>
        <w:keepLines/>
        <w:numPr>
          <w:ilvl w:val="0"/>
          <w:numId w:val="50"/>
        </w:numPr>
        <w:spacing w:before="120" w:after="120" w:line="288" w:lineRule="auto"/>
        <w:ind w:left="426" w:hanging="426"/>
      </w:pPr>
      <w:r w:rsidRPr="007E08F7">
        <w:rPr>
          <w:b/>
          <w:bCs/>
        </w:rPr>
        <w:t>Zamożność mieszkańców regionu charakteryzuje się silną polaryzacją</w:t>
      </w:r>
      <w:r w:rsidRPr="007E08F7">
        <w:t>. W</w:t>
      </w:r>
      <w:r w:rsidR="00EF655B" w:rsidRPr="007E08F7">
        <w:t> </w:t>
      </w:r>
      <w:r w:rsidRPr="007E08F7">
        <w:t>2025 r. przeciętne miesięczne wynagrodzenie różniło się między skrajnymi pod tym względem powiatami (miastem Gdańsk a powiatem chojnickim) o ponad 3,3 tys. zł. Choć w ujęciu dynamicznym zamożność mieszkańców powiatów ziemskich rośnie szybciej niż w Trójmieście (zwłaszcza starogardzkiego i kościerskiego), to</w:t>
      </w:r>
      <w:r w:rsidR="00A6130B" w:rsidRPr="007E08F7">
        <w:t> </w:t>
      </w:r>
      <w:r w:rsidRPr="007E08F7">
        <w:t>w</w:t>
      </w:r>
      <w:r w:rsidR="00EF655B" w:rsidRPr="007E08F7">
        <w:t> </w:t>
      </w:r>
      <w:r w:rsidRPr="007E08F7">
        <w:t>wartościach bezwzględnych dystans dochodowy wciąż pozostaje bardzo wyraźny.</w:t>
      </w:r>
    </w:p>
    <w:p w14:paraId="0D4883EA" w14:textId="6D04BB49" w:rsidR="00E52C92" w:rsidRPr="007E08F7" w:rsidRDefault="00E52C92">
      <w:pPr>
        <w:numPr>
          <w:ilvl w:val="0"/>
          <w:numId w:val="50"/>
        </w:numPr>
        <w:spacing w:before="120" w:after="120" w:line="288" w:lineRule="auto"/>
        <w:ind w:left="426" w:hanging="426"/>
      </w:pPr>
      <w:r w:rsidRPr="007E08F7">
        <w:rPr>
          <w:b/>
          <w:bCs/>
        </w:rPr>
        <w:t xml:space="preserve">Sytuacja mieszkaniowa </w:t>
      </w:r>
      <w:r w:rsidRPr="007E08F7">
        <w:t>w regionie</w:t>
      </w:r>
      <w:r w:rsidRPr="007E08F7">
        <w:rPr>
          <w:b/>
          <w:bCs/>
        </w:rPr>
        <w:t xml:space="preserve"> wzmaga zróżnicowania</w:t>
      </w:r>
      <w:r w:rsidRPr="007E08F7">
        <w:t>. W Trójmieście i jego otoczeniu, mimo dynamicznego rozwoju, głównym problemem pozostaje ograniczona dostępność mieszkań oraz wysoki koszt zakupu i najmu. W miastach tracących mieszkańców problemem jest niska aktywność inwestycyjna oraz niedopasowanie istniejącego zasobu do potrzeb mieszkańców. Rozpiętość skrajnych cen transakcyjnych zakupu mieszkań w regionie wynosi ok. 16 tys. zł/m² (np. w 2025 r. ceny wahały się między 19 tys. zł/m² w Sopocie, a 3,2 tys. zł/m² w</w:t>
      </w:r>
      <w:r w:rsidR="00A6130B" w:rsidRPr="007E08F7">
        <w:t> </w:t>
      </w:r>
      <w:r w:rsidRPr="007E08F7">
        <w:t>Czarnem). Zachodzące zmiany demograficzne zwiększają zapotrzebowanie na mniejsze, przystępne cenowo mieszkania, szczególnie dla seniorów, singli i młodych rodzin.</w:t>
      </w:r>
    </w:p>
    <w:p w14:paraId="31F96321" w14:textId="1B073C21" w:rsidR="00E52C92" w:rsidRPr="007E08F7" w:rsidRDefault="00E52C92">
      <w:pPr>
        <w:numPr>
          <w:ilvl w:val="0"/>
          <w:numId w:val="50"/>
        </w:numPr>
        <w:spacing w:before="120" w:after="120" w:line="288" w:lineRule="auto"/>
        <w:ind w:left="426" w:hanging="426"/>
      </w:pPr>
      <w:r w:rsidRPr="007E08F7">
        <w:t>Wzrost cen nieruchomości pozostaje asymetryczny względem dynamiki zarobków ludności. W konsekwencji, siła nabywcza własnego mieszkania jest bardzo zróżnicowana. Najtrudniej kupić nieruchomość w Sopocie, a najlepsza relacja wynagrodzenia do średniej ceny 1 m² mieszkania ma miejsce w powiecie sztumskim. Jednak tam, podaż jest najniższa w regionie, co może stanowić jedną z</w:t>
      </w:r>
      <w:r w:rsidR="00A6130B" w:rsidRPr="007E08F7">
        <w:t> </w:t>
      </w:r>
      <w:r w:rsidRPr="007E08F7">
        <w:t>przyczyn odpływu mieszkańców do innych ośrodków.</w:t>
      </w:r>
    </w:p>
    <w:p w14:paraId="475CA887" w14:textId="6358CFE4" w:rsidR="00E52C92" w:rsidRPr="007E08F7" w:rsidRDefault="00E52C92">
      <w:pPr>
        <w:numPr>
          <w:ilvl w:val="0"/>
          <w:numId w:val="50"/>
        </w:numPr>
        <w:spacing w:before="120" w:after="120" w:line="288" w:lineRule="auto"/>
        <w:ind w:left="426" w:hanging="426"/>
        <w:rPr>
          <w:lang w:val="pl"/>
        </w:rPr>
      </w:pPr>
      <w:r w:rsidRPr="007E08F7">
        <w:rPr>
          <w:b/>
          <w:bCs/>
        </w:rPr>
        <w:t>Wysokie zróżnicowanie wykazuje</w:t>
      </w:r>
      <w:r w:rsidRPr="007E08F7">
        <w:t xml:space="preserve"> też</w:t>
      </w:r>
      <w:r w:rsidRPr="007E08F7">
        <w:rPr>
          <w:b/>
          <w:bCs/>
        </w:rPr>
        <w:t xml:space="preserve"> obciążenie pomocą społeczną</w:t>
      </w:r>
      <w:r w:rsidRPr="007E08F7">
        <w:t xml:space="preserve">. Najniższe koncentruje się w dynamicznie rozwijających się gminach obszaru metropolitalnego. Na drugim biegunie znajdują się gminy </w:t>
      </w:r>
      <w:r w:rsidR="000C21B2" w:rsidRPr="007E08F7">
        <w:t>położone na krańcach województwa</w:t>
      </w:r>
      <w:r w:rsidRPr="007E08F7">
        <w:t xml:space="preserve"> i rolnicze, gdzie strukturalne problemy generują wielokrotnie wyższe zapotrzebowanie na wsparcie</w:t>
      </w:r>
      <w:r w:rsidRPr="007E08F7">
        <w:rPr>
          <w:lang w:val="pl"/>
        </w:rPr>
        <w:t xml:space="preserve">. </w:t>
      </w:r>
      <w:r w:rsidRPr="007E08F7">
        <w:t>Choć w skali całego regionu dominuje długofalowy trend spadkowy korzystania z pomocy społecznej, to proces ten zachodzi w bardzo różnym tempie. Niektóre gminy nie nadążają z redukcją problemów społecznych</w:t>
      </w:r>
      <w:r w:rsidR="000C21B2" w:rsidRPr="007E08F7">
        <w:t xml:space="preserve"> w</w:t>
      </w:r>
      <w:r w:rsidR="00A6130B" w:rsidRPr="007E08F7">
        <w:t> </w:t>
      </w:r>
      <w:r w:rsidR="000C21B2" w:rsidRPr="007E08F7">
        <w:t xml:space="preserve">porównaniu z </w:t>
      </w:r>
      <w:r w:rsidRPr="007E08F7">
        <w:t>większ</w:t>
      </w:r>
      <w:r w:rsidR="000C21B2" w:rsidRPr="007E08F7">
        <w:t>ymi</w:t>
      </w:r>
      <w:r w:rsidRPr="007E08F7">
        <w:t xml:space="preserve"> miasta</w:t>
      </w:r>
      <w:r w:rsidR="000C21B2" w:rsidRPr="007E08F7">
        <w:t>mi</w:t>
      </w:r>
      <w:r w:rsidRPr="007E08F7">
        <w:t>, co utrwala historyczne dysproporcje rozwojowe.</w:t>
      </w:r>
    </w:p>
    <w:p w14:paraId="48BA1E15" w14:textId="604B85BF" w:rsidR="00E52C92" w:rsidRPr="007E08F7" w:rsidRDefault="00E52C92">
      <w:pPr>
        <w:numPr>
          <w:ilvl w:val="0"/>
          <w:numId w:val="50"/>
        </w:numPr>
        <w:spacing w:before="120" w:after="120" w:line="288" w:lineRule="auto"/>
        <w:ind w:left="426" w:hanging="426"/>
      </w:pPr>
      <w:r w:rsidRPr="007E08F7">
        <w:rPr>
          <w:bCs/>
        </w:rPr>
        <w:t xml:space="preserve">Od lat w regionie </w:t>
      </w:r>
      <w:r w:rsidRPr="007E08F7">
        <w:rPr>
          <w:b/>
        </w:rPr>
        <w:t>trwają procesy rewitalizacji</w:t>
      </w:r>
      <w:r w:rsidRPr="007E08F7">
        <w:rPr>
          <w:bCs/>
        </w:rPr>
        <w:t>. Te wieloletnie inwestycje w poprawę z</w:t>
      </w:r>
      <w:r w:rsidR="000C21B2" w:rsidRPr="007E08F7">
        <w:rPr>
          <w:bCs/>
        </w:rPr>
        <w:t>degradowanej</w:t>
      </w:r>
      <w:r w:rsidRPr="007E08F7">
        <w:rPr>
          <w:bCs/>
        </w:rPr>
        <w:t xml:space="preserve"> tkanki miejskiej odbywają się z coraz większym zaangażowaniem społecznym. Mimo to</w:t>
      </w:r>
      <w:r w:rsidR="000C21B2" w:rsidRPr="007E08F7">
        <w:rPr>
          <w:bCs/>
        </w:rPr>
        <w:t>,</w:t>
      </w:r>
      <w:r w:rsidRPr="007E08F7">
        <w:rPr>
          <w:bCs/>
        </w:rPr>
        <w:t xml:space="preserve"> n</w:t>
      </w:r>
      <w:r w:rsidRPr="007E08F7">
        <w:t xml:space="preserve">adal widoczny jest niewystarczający zasób wysokiej jakości przestrzeni sprzyjających integracji społecznej, kulturze, aktywności fizycznej, </w:t>
      </w:r>
      <w:r w:rsidRPr="007E08F7">
        <w:lastRenderedPageBreak/>
        <w:t>rekreacji, turystyce i budowaniu więzi lokalnych</w:t>
      </w:r>
      <w:r w:rsidR="000C21B2" w:rsidRPr="007E08F7">
        <w:t xml:space="preserve">, </w:t>
      </w:r>
      <w:r w:rsidRPr="007E08F7">
        <w:t>zarówno w miastach, jak i na obszarach wiejskich.</w:t>
      </w:r>
    </w:p>
    <w:p w14:paraId="2720D9B5" w14:textId="77777777" w:rsidR="00E52C92" w:rsidRPr="007E08F7" w:rsidRDefault="00E52C92">
      <w:pPr>
        <w:numPr>
          <w:ilvl w:val="0"/>
          <w:numId w:val="50"/>
        </w:numPr>
        <w:spacing w:before="120" w:after="120" w:line="288" w:lineRule="auto"/>
        <w:ind w:left="426" w:hanging="426"/>
        <w:rPr>
          <w:b/>
          <w:bCs/>
          <w:lang w:val="pl"/>
        </w:rPr>
      </w:pPr>
      <w:r w:rsidRPr="007E08F7">
        <w:t xml:space="preserve">Zróżnicowanie warunków życia na Pomorzu widoczne jest także pod względem korzystania z </w:t>
      </w:r>
      <w:r w:rsidRPr="007E08F7">
        <w:rPr>
          <w:b/>
          <w:bCs/>
        </w:rPr>
        <w:t>infrastruktury komunalnej</w:t>
      </w:r>
      <w:r w:rsidRPr="007E08F7">
        <w:t xml:space="preserve">. W miastach dostępność do sieci wodociągowej jest już powszechna, bo wynosi prawie 99% i nie zmieniła się od 2021 r. Na wsi co roku rośnie, choć nieznacznie (o 0,2 </w:t>
      </w:r>
      <w:proofErr w:type="spellStart"/>
      <w:r w:rsidRPr="007E08F7">
        <w:t>p.p</w:t>
      </w:r>
      <w:proofErr w:type="spellEnd"/>
      <w:r w:rsidRPr="007E08F7">
        <w:t>.) i nadal jest nieco niższa niż w miastach (niespełna 94%). W praktyce, dalszy rozwój sieci wodociągowej ma w coraz większym stopniu charakter uzupełniający i modernizacyjny, a nie podstawowy.</w:t>
      </w:r>
    </w:p>
    <w:p w14:paraId="324CB292" w14:textId="1B52A31A" w:rsidR="00E52C92" w:rsidRPr="007E08F7" w:rsidRDefault="00E52C92">
      <w:pPr>
        <w:numPr>
          <w:ilvl w:val="0"/>
          <w:numId w:val="50"/>
        </w:numPr>
        <w:spacing w:before="120" w:after="120" w:line="288" w:lineRule="auto"/>
        <w:ind w:left="426" w:hanging="426"/>
        <w:rPr>
          <w:b/>
          <w:bCs/>
          <w:lang w:val="pl"/>
        </w:rPr>
      </w:pPr>
      <w:r w:rsidRPr="007E08F7">
        <w:t xml:space="preserve">Na tle kraju Pomorskie pozostaje najlepiej wyposażonym z województw w zakresie dostępu do </w:t>
      </w:r>
      <w:r w:rsidRPr="007E08F7">
        <w:rPr>
          <w:b/>
          <w:bCs/>
        </w:rPr>
        <w:t>sieci kanalizacyjnej</w:t>
      </w:r>
      <w:r w:rsidRPr="007E08F7">
        <w:t>. Od lat utrzymuje pozycję lidera pod względem poziomu skanalizowania obszarów wiejskich. Jednocześnie skala korzystania z</w:t>
      </w:r>
      <w:r w:rsidR="00A6130B" w:rsidRPr="007E08F7">
        <w:t> </w:t>
      </w:r>
      <w:r w:rsidRPr="007E08F7">
        <w:t>kanalizacji pozostaje nadal wyraźnie niższa niż w przypadku wodociągów, co</w:t>
      </w:r>
      <w:r w:rsidR="00A6130B" w:rsidRPr="007E08F7">
        <w:t> </w:t>
      </w:r>
      <w:r w:rsidRPr="007E08F7">
        <w:t>pokazuje, że rozbudowa tej części infrastruktury nadal pozostaje istotnym kierunkiem działań inwestycyjnych. W ostatnich latach rozwój sieci kanalizacyjnej w</w:t>
      </w:r>
      <w:r w:rsidR="00A6130B" w:rsidRPr="007E08F7">
        <w:t> </w:t>
      </w:r>
      <w:r w:rsidRPr="007E08F7">
        <w:t>województwie w większym stopniu obejmował obszary wiejskie niż miasta, co</w:t>
      </w:r>
      <w:r w:rsidR="00A6130B" w:rsidRPr="007E08F7">
        <w:t> </w:t>
      </w:r>
      <w:r w:rsidRPr="007E08F7">
        <w:t>sprzyjało stopniowemu zmniejszaniu różnic w wyposażeniu infrastrukturalnym pomiędzy miastem a wsią. Mimo utrzymujących się dysproporcji przestrzennych, na</w:t>
      </w:r>
      <w:r w:rsidR="00A6130B" w:rsidRPr="007E08F7">
        <w:t> </w:t>
      </w:r>
      <w:r w:rsidRPr="007E08F7">
        <w:t>Pomorzu są one wyraźnie mniejsze niż przeciętnie w kraju. Skala zróżnicowania poziomu skanalizowania między miastami i obszarami wiejskimi to nieco ponad 27</w:t>
      </w:r>
      <w:r w:rsidR="00A6130B" w:rsidRPr="007E08F7">
        <w:t> </w:t>
      </w:r>
      <w:proofErr w:type="spellStart"/>
      <w:r w:rsidRPr="007E08F7">
        <w:t>p.p</w:t>
      </w:r>
      <w:proofErr w:type="spellEnd"/>
      <w:r w:rsidRPr="007E08F7">
        <w:t xml:space="preserve">., podczas gdy średnio w kraju to 45 </w:t>
      </w:r>
      <w:proofErr w:type="spellStart"/>
      <w:r w:rsidRPr="007E08F7">
        <w:t>p.p</w:t>
      </w:r>
      <w:proofErr w:type="spellEnd"/>
      <w:r w:rsidRPr="007E08F7">
        <w:t>.</w:t>
      </w:r>
    </w:p>
    <w:p w14:paraId="436B5F42" w14:textId="6C6F5B14" w:rsidR="00E52C92" w:rsidRPr="007E08F7" w:rsidRDefault="00E52C92">
      <w:pPr>
        <w:numPr>
          <w:ilvl w:val="0"/>
          <w:numId w:val="50"/>
        </w:numPr>
        <w:spacing w:before="120" w:after="120" w:line="288" w:lineRule="auto"/>
        <w:ind w:left="426" w:hanging="426"/>
        <w:rPr>
          <w:b/>
          <w:bCs/>
          <w:lang w:val="pl"/>
        </w:rPr>
      </w:pPr>
      <w:r w:rsidRPr="007E08F7">
        <w:t xml:space="preserve">Pomorskie charakteryzuje się </w:t>
      </w:r>
      <w:r w:rsidRPr="007E08F7">
        <w:rPr>
          <w:b/>
          <w:bCs/>
        </w:rPr>
        <w:t xml:space="preserve">znacznymi dysproporcjami w dostępie do </w:t>
      </w:r>
      <w:proofErr w:type="spellStart"/>
      <w:r w:rsidRPr="007E08F7">
        <w:rPr>
          <w:b/>
          <w:bCs/>
        </w:rPr>
        <w:t>internetu</w:t>
      </w:r>
      <w:proofErr w:type="spellEnd"/>
      <w:r w:rsidRPr="007E08F7">
        <w:rPr>
          <w:b/>
          <w:bCs/>
        </w:rPr>
        <w:t xml:space="preserve">. </w:t>
      </w:r>
      <w:r w:rsidRPr="007E08F7">
        <w:t xml:space="preserve">Prawie 89% gospodarstw domowych znajduje się w zasięgu stacjonarnej sieci o przepustowości co najmniej 30 </w:t>
      </w:r>
      <w:proofErr w:type="spellStart"/>
      <w:r w:rsidRPr="007E08F7">
        <w:t>Mb</w:t>
      </w:r>
      <w:proofErr w:type="spellEnd"/>
      <w:r w:rsidRPr="007E08F7">
        <w:t>/s (12. miejsce w kraju), jednak w</w:t>
      </w:r>
      <w:r w:rsidR="00A6130B" w:rsidRPr="007E08F7">
        <w:t> </w:t>
      </w:r>
      <w:r w:rsidRPr="007E08F7">
        <w:t>przypadku obszarów wiejskich jest to średnio jedynie 68%. Najniższy wskaźnik, nieprzekraczający 15% gospodarstw domowych, odnotowano w gminach Tuchomie, Borzytuchom i Skarszewy. Najlepsza sytuacja występuje natomiast w</w:t>
      </w:r>
      <w:r w:rsidR="00A6130B" w:rsidRPr="007E08F7">
        <w:t> </w:t>
      </w:r>
      <w:r w:rsidRPr="007E08F7">
        <w:t>gminach miejskich, w szczególności w miastach na prawach powiatu: Gdańsku, Gdyni, Sopocie oraz miastach powiatowych, gdzie przekracza 90%. Infrastruktura stałego dostępu do sieci oparta jest nadal w dużym stopniu o technologię nieperspektywicznych połączeń miedzianych. W zasięgu nowoczesnej sieci światłowodowej, znajduje się średnio jedynie 61,7% gospodarstw domowych (przy średniej dla Polski 80,1%). Pod tym względem województwo pomorskie zajmuje ostatnie miejsce w kraju. Powyższy wskaźnik dla obszarów miejskich województwa pomorskiego wynosi 68,7% (Polska – 85,1%), a dla obszarów wiejskich 44,3% (Polska – 69,5%)</w:t>
      </w:r>
      <w:r w:rsidRPr="007E08F7">
        <w:rPr>
          <w:vertAlign w:val="superscript"/>
        </w:rPr>
        <w:footnoteReference w:id="66"/>
      </w:r>
      <w:r w:rsidRPr="007E08F7">
        <w:t xml:space="preserve">. Powyższe dysproporcje wskazują na potrzebę dalszego rozwoju </w:t>
      </w:r>
      <w:r w:rsidRPr="007E08F7">
        <w:lastRenderedPageBreak/>
        <w:t>infrastruktury sieciowej (optymalnie światłowodowej), w szczególności na obszarach wiejskich.</w:t>
      </w:r>
    </w:p>
    <w:p w14:paraId="0932471D" w14:textId="77777777" w:rsidR="00E52C92" w:rsidRPr="007E08F7" w:rsidRDefault="00E52C92" w:rsidP="00A53565">
      <w:pPr>
        <w:pStyle w:val="Nagwek3"/>
        <w:rPr>
          <w:lang w:val="pl"/>
        </w:rPr>
      </w:pPr>
      <w:bookmarkStart w:id="27" w:name="_Toc239772055"/>
      <w:r w:rsidRPr="007E08F7">
        <w:rPr>
          <w:lang w:val="pl"/>
        </w:rPr>
        <w:t>Nierównomierny dostęp do usług publicznych</w:t>
      </w:r>
      <w:bookmarkEnd w:id="27"/>
    </w:p>
    <w:p w14:paraId="68DED8BB" w14:textId="0CC5162C" w:rsidR="00E52C92" w:rsidRPr="007E08F7" w:rsidRDefault="00E52C92">
      <w:pPr>
        <w:numPr>
          <w:ilvl w:val="0"/>
          <w:numId w:val="50"/>
        </w:numPr>
        <w:spacing w:before="120" w:after="120" w:line="288" w:lineRule="auto"/>
        <w:ind w:left="426" w:hanging="426"/>
      </w:pPr>
      <w:r w:rsidRPr="007E08F7">
        <w:rPr>
          <w:b/>
          <w:bCs/>
        </w:rPr>
        <w:t>Zdecydowana większość powierzchni województwa nie jest objęta miejscowymi planami zagospodarowania przestrzennego</w:t>
      </w:r>
      <w:r w:rsidRPr="007E08F7">
        <w:t>. W sytuacji ich braku</w:t>
      </w:r>
      <w:r w:rsidR="00BF43CD" w:rsidRPr="007E08F7">
        <w:t>,</w:t>
      </w:r>
      <w:r w:rsidRPr="007E08F7">
        <w:t xml:space="preserve"> na obszarach znajdujących się pod presją urbanizacyjną podstawą pozwoleń na budowę są decyzje o warunkach zabudowy. Stanowią one w ostatnich latach podstawę większości inwestycji. Skutkiem niewłaściwej polityki przestrzennej bywa niekontrolowana </w:t>
      </w:r>
      <w:proofErr w:type="spellStart"/>
      <w:r w:rsidRPr="007E08F7">
        <w:t>suburbanizacj</w:t>
      </w:r>
      <w:r w:rsidR="00F63728" w:rsidRPr="007E08F7">
        <w:t>a</w:t>
      </w:r>
      <w:proofErr w:type="spellEnd"/>
      <w:r w:rsidRPr="007E08F7">
        <w:t xml:space="preserve">, wzmagana presją deweloperską, co minimalizuje charakter rolniczy wsi, w tym zajmuje użytki rolne i tereny zielone. Wyższa przedsiębiorczość oraz wzrost dochodów własnych tych gmin nie równoważą skokowej potrzeby zapewnienia mieszkańcom usług publicznych, zwłaszcza transportowych i opiekuńczo-edukacyjnych </w:t>
      </w:r>
      <w:r w:rsidRPr="007E08F7">
        <w:rPr>
          <w:lang w:val="pl"/>
        </w:rPr>
        <w:t>(żłobki, przedszkola, szkoły).</w:t>
      </w:r>
      <w:r w:rsidRPr="007E08F7">
        <w:t xml:space="preserve"> Konsekwencją jest wzmożony transport indywidualny oraz pogorszenie jakości życia mieszkańców</w:t>
      </w:r>
      <w:r w:rsidR="00BF43CD" w:rsidRPr="007E08F7">
        <w:t>,</w:t>
      </w:r>
      <w:r w:rsidRPr="007E08F7">
        <w:t xml:space="preserve"> w tym brak przestrzeni publicznej, obniżenie jakości powietrza i</w:t>
      </w:r>
      <w:r w:rsidR="00A6130B" w:rsidRPr="007E08F7">
        <w:t> </w:t>
      </w:r>
      <w:r w:rsidRPr="007E08F7">
        <w:t>wzrost zanieczyszczenia hałasem. Z tego względu kluczowe znaczenie ma efektywne planowanie przestrzenne.</w:t>
      </w:r>
    </w:p>
    <w:p w14:paraId="482D7CC9" w14:textId="341BA320" w:rsidR="00E52C92" w:rsidRPr="007E08F7" w:rsidRDefault="00E52C92">
      <w:pPr>
        <w:numPr>
          <w:ilvl w:val="0"/>
          <w:numId w:val="50"/>
        </w:numPr>
        <w:spacing w:before="120" w:after="120" w:line="288" w:lineRule="auto"/>
        <w:ind w:left="426" w:hanging="426"/>
        <w:rPr>
          <w:lang w:val="pl"/>
        </w:rPr>
      </w:pPr>
      <w:r w:rsidRPr="007E08F7">
        <w:t xml:space="preserve">Zmniejszenie liczby dzieci oraz gwałtowne przesunięcia ludnościowe bezpośrednio wpływają na </w:t>
      </w:r>
      <w:r w:rsidRPr="007E08F7">
        <w:rPr>
          <w:lang w:val="pl"/>
        </w:rPr>
        <w:t xml:space="preserve">rentowność usług publicznych, zwłaszcza na </w:t>
      </w:r>
      <w:r w:rsidRPr="007E08F7">
        <w:rPr>
          <w:b/>
          <w:bCs/>
        </w:rPr>
        <w:t>system edukacji</w:t>
      </w:r>
      <w:r w:rsidRPr="007E08F7">
        <w:t xml:space="preserve">. Istniejąca infrastruktura przedszkolna i szkolna w mniejszych ośrodkach przestaje być optymalnie wykorzystana, a obszary o rosnącej </w:t>
      </w:r>
      <w:proofErr w:type="spellStart"/>
      <w:r w:rsidRPr="007E08F7">
        <w:t>suburbanizacji</w:t>
      </w:r>
      <w:proofErr w:type="spellEnd"/>
      <w:r w:rsidRPr="007E08F7">
        <w:t xml:space="preserve"> wymagają jej rozbudowy. </w:t>
      </w:r>
    </w:p>
    <w:p w14:paraId="141918B8" w14:textId="74DCAC4B" w:rsidR="00E52C92" w:rsidRPr="007E08F7" w:rsidRDefault="00E52C92">
      <w:pPr>
        <w:numPr>
          <w:ilvl w:val="0"/>
          <w:numId w:val="50"/>
        </w:numPr>
        <w:spacing w:before="120" w:after="120" w:line="288" w:lineRule="auto"/>
        <w:ind w:left="426" w:hanging="426"/>
        <w:rPr>
          <w:lang w:val="pl"/>
        </w:rPr>
      </w:pPr>
      <w:r w:rsidRPr="007E08F7">
        <w:t xml:space="preserve">Przejawem różnic jest również </w:t>
      </w:r>
      <w:r w:rsidRPr="007E08F7">
        <w:rPr>
          <w:b/>
          <w:bCs/>
        </w:rPr>
        <w:t>polaryzacja wyników egzaminów ósmoklasisty</w:t>
      </w:r>
      <w:r w:rsidRPr="007E08F7">
        <w:t xml:space="preserve">, między miastami a gminami wiejskimi. Jest ona znacznie wyższa niż średnia krajowa. Ponadto, </w:t>
      </w:r>
      <w:r w:rsidRPr="007E08F7">
        <w:rPr>
          <w:bCs/>
        </w:rPr>
        <w:t xml:space="preserve">niewystarczająca dostępność </w:t>
      </w:r>
      <w:r w:rsidR="00BF43CD" w:rsidRPr="007E08F7">
        <w:rPr>
          <w:bCs/>
        </w:rPr>
        <w:t xml:space="preserve">publicznego </w:t>
      </w:r>
      <w:r w:rsidRPr="007E08F7">
        <w:rPr>
          <w:bCs/>
        </w:rPr>
        <w:t>transportu</w:t>
      </w:r>
      <w:r w:rsidR="00BF43CD" w:rsidRPr="007E08F7">
        <w:rPr>
          <w:bCs/>
        </w:rPr>
        <w:t xml:space="preserve"> zbiorowego</w:t>
      </w:r>
      <w:r w:rsidRPr="007E08F7">
        <w:rPr>
          <w:bCs/>
        </w:rPr>
        <w:t>,</w:t>
      </w:r>
      <w:r w:rsidRPr="007E08F7">
        <w:t xml:space="preserve"> w szczególności w gminach poza obszarem metropolitalnym, ogranicza możliwość pełnego rozwoju zainteresowań dzieci i młodzieży, w tym uczniów uzdolnionych z tych terenów. </w:t>
      </w:r>
      <w:r w:rsidR="00BF43CD" w:rsidRPr="007E08F7">
        <w:t>M</w:t>
      </w:r>
      <w:r w:rsidRPr="007E08F7">
        <w:t>iejsce zamieszkania dziecka na Pomorzu wciąż zbyt mocno determinuje jego start życiowy.</w:t>
      </w:r>
    </w:p>
    <w:p w14:paraId="21D5FB53" w14:textId="77777777" w:rsidR="00E52C92" w:rsidRPr="007E08F7" w:rsidRDefault="00E52C92">
      <w:pPr>
        <w:numPr>
          <w:ilvl w:val="0"/>
          <w:numId w:val="50"/>
        </w:numPr>
        <w:spacing w:before="120" w:after="120" w:line="288" w:lineRule="auto"/>
        <w:ind w:left="426" w:hanging="426"/>
        <w:rPr>
          <w:lang w:val="pl"/>
        </w:rPr>
      </w:pPr>
      <w:r w:rsidRPr="007E08F7">
        <w:t xml:space="preserve">Mimo, że zapewnienie usług opiekuńczych jest ustawowym obowiązkiem własnym gmin, w 2025 r. dziewięć pomorskich gmin w ogóle nie zapewniło pomocy w postaci usług opiekuńczych w miejscu zamieszkania. Jest to alarmujący wskaźnik </w:t>
      </w:r>
      <w:r w:rsidRPr="007E08F7">
        <w:rPr>
          <w:b/>
          <w:bCs/>
        </w:rPr>
        <w:t>nierówności w dostępie do opieki</w:t>
      </w:r>
      <w:r w:rsidRPr="007E08F7">
        <w:t>, szczególnie w kontekście postępującego starzenia się społeczeństwa.</w:t>
      </w:r>
    </w:p>
    <w:p w14:paraId="291766A3" w14:textId="7E711EE5" w:rsidR="00E52C92" w:rsidRPr="007E08F7" w:rsidRDefault="00E52C92">
      <w:pPr>
        <w:numPr>
          <w:ilvl w:val="0"/>
          <w:numId w:val="50"/>
        </w:numPr>
        <w:spacing w:before="120" w:after="120" w:line="288" w:lineRule="auto"/>
        <w:ind w:left="426" w:hanging="426"/>
        <w:rPr>
          <w:lang w:val="pl"/>
        </w:rPr>
      </w:pPr>
      <w:r w:rsidRPr="007E08F7">
        <w:rPr>
          <w:lang w:val="pl"/>
        </w:rPr>
        <w:t xml:space="preserve">Dostęp do profesjonalnego wsparcia asystenckiego i pracy socjalnej jest ograniczony przez </w:t>
      </w:r>
      <w:r w:rsidRPr="007E08F7">
        <w:rPr>
          <w:b/>
          <w:bCs/>
          <w:lang w:val="pl"/>
        </w:rPr>
        <w:t>kryzys kadrowy</w:t>
      </w:r>
      <w:r w:rsidRPr="007E08F7">
        <w:rPr>
          <w:lang w:val="pl"/>
        </w:rPr>
        <w:t>. Prawie połowa ośrodków pomocy społecznej na</w:t>
      </w:r>
      <w:r w:rsidR="00A53565" w:rsidRPr="007E08F7">
        <w:rPr>
          <w:lang w:val="pl"/>
        </w:rPr>
        <w:t> </w:t>
      </w:r>
      <w:r w:rsidRPr="007E08F7">
        <w:rPr>
          <w:lang w:val="pl"/>
        </w:rPr>
        <w:t xml:space="preserve">poziomie gminnym nie spełnia przynajmniej jednego z ustawowych wymogów </w:t>
      </w:r>
      <w:r w:rsidRPr="007E08F7">
        <w:rPr>
          <w:lang w:val="pl"/>
        </w:rPr>
        <w:lastRenderedPageBreak/>
        <w:t>dotyczących minimalnego poziomu zatrudnienia pracowników socjalnych. Przekłada się to bezpośrednio na przeciążenie personelu i ograniczenie dostępności usług w ujęciu lokalnym.</w:t>
      </w:r>
    </w:p>
    <w:p w14:paraId="01C939A2" w14:textId="2CD8D469" w:rsidR="00E52C92" w:rsidRPr="007E08F7" w:rsidRDefault="00E52C92">
      <w:pPr>
        <w:numPr>
          <w:ilvl w:val="0"/>
          <w:numId w:val="50"/>
        </w:numPr>
        <w:spacing w:before="120" w:after="120" w:line="288" w:lineRule="auto"/>
        <w:ind w:left="426" w:hanging="426"/>
        <w:rPr>
          <w:bCs/>
        </w:rPr>
      </w:pPr>
      <w:r w:rsidRPr="007E08F7">
        <w:rPr>
          <w:b/>
        </w:rPr>
        <w:t>Zasoby ochrony zdrowia</w:t>
      </w:r>
      <w:r w:rsidRPr="007E08F7">
        <w:rPr>
          <w:bCs/>
        </w:rPr>
        <w:t xml:space="preserve"> są</w:t>
      </w:r>
      <w:r w:rsidRPr="007E08F7">
        <w:t xml:space="preserve"> </w:t>
      </w:r>
      <w:r w:rsidRPr="007E08F7">
        <w:rPr>
          <w:b/>
          <w:bCs/>
        </w:rPr>
        <w:t>nierównomierne rozmieszczone</w:t>
      </w:r>
      <w:r w:rsidRPr="007E08F7">
        <w:t xml:space="preserve">, a </w:t>
      </w:r>
      <w:r w:rsidRPr="007E08F7">
        <w:rPr>
          <w:b/>
          <w:bCs/>
        </w:rPr>
        <w:t>świadczenia wysokospecjalistyczne koncentrują się w obszarze metropolitalnym</w:t>
      </w:r>
      <w:r w:rsidRPr="007E08F7">
        <w:rPr>
          <w:bCs/>
        </w:rPr>
        <w:t>. Nierówności w dostępie mieszkańców regionu do nowoczesnej opieki medycznej generują m.in. bariery komunikacyjne oraz niewystarczająca baza diagnostyczna na</w:t>
      </w:r>
      <w:r w:rsidR="00A53565" w:rsidRPr="007E08F7">
        <w:rPr>
          <w:bCs/>
        </w:rPr>
        <w:t> </w:t>
      </w:r>
      <w:r w:rsidRPr="007E08F7">
        <w:rPr>
          <w:bCs/>
        </w:rPr>
        <w:t xml:space="preserve">poziomie lokalnym. </w:t>
      </w:r>
      <w:r w:rsidRPr="007E08F7">
        <w:t>O</w:t>
      </w:r>
      <w:r w:rsidRPr="007E08F7">
        <w:rPr>
          <w:bCs/>
        </w:rPr>
        <w:t>graniczona dostępność dotyczy zwłaszcza obszarów wiejskich i małych miast, szczególnie w zachodnich i południowych powiatach. Najdłuższy czas dojazdu do najbliższej gminy, w której znajduje się szpital, charakteryzuje gminy położone na krańcach regionu.</w:t>
      </w:r>
    </w:p>
    <w:p w14:paraId="1FB4BB18" w14:textId="3FD4AA53" w:rsidR="00E52C92" w:rsidRPr="007E08F7" w:rsidRDefault="00E52C92">
      <w:pPr>
        <w:numPr>
          <w:ilvl w:val="0"/>
          <w:numId w:val="50"/>
        </w:numPr>
        <w:spacing w:before="120" w:after="120" w:line="288" w:lineRule="auto"/>
        <w:ind w:left="426" w:hanging="426"/>
        <w:rPr>
          <w:bCs/>
        </w:rPr>
      </w:pPr>
      <w:r w:rsidRPr="007E08F7">
        <w:rPr>
          <w:b/>
        </w:rPr>
        <w:t>Dostęp do poradni ambulatoryjnej opieki specjalistycznej jest znacznie zróżnicowany</w:t>
      </w:r>
      <w:r w:rsidRPr="007E08F7">
        <w:rPr>
          <w:bCs/>
        </w:rPr>
        <w:t>. Największa liczba poradni w odniesieniu do liczby mieszkańców oprócz Sopotu, Słupska, Gdyni i Gdańska charakteryzuje powiat starogardzki i</w:t>
      </w:r>
      <w:r w:rsidR="00A6130B" w:rsidRPr="007E08F7">
        <w:rPr>
          <w:bCs/>
        </w:rPr>
        <w:t> </w:t>
      </w:r>
      <w:r w:rsidRPr="007E08F7">
        <w:rPr>
          <w:bCs/>
        </w:rPr>
        <w:t>kościerski, a najniższa powiat słupski i gdański</w:t>
      </w:r>
      <w:r w:rsidRPr="007E08F7">
        <w:rPr>
          <w:bCs/>
          <w:vertAlign w:val="superscript"/>
        </w:rPr>
        <w:footnoteReference w:id="67"/>
      </w:r>
      <w:r w:rsidRPr="007E08F7">
        <w:rPr>
          <w:bCs/>
        </w:rPr>
        <w:t>.</w:t>
      </w:r>
    </w:p>
    <w:p w14:paraId="737A46E2" w14:textId="77777777" w:rsidR="00E52C92" w:rsidRPr="007E08F7" w:rsidRDefault="00E52C92">
      <w:pPr>
        <w:numPr>
          <w:ilvl w:val="0"/>
          <w:numId w:val="50"/>
        </w:numPr>
        <w:spacing w:before="120" w:after="120" w:line="288" w:lineRule="auto"/>
        <w:ind w:left="426" w:hanging="426"/>
        <w:rPr>
          <w:bCs/>
        </w:rPr>
      </w:pPr>
      <w:r w:rsidRPr="007E08F7">
        <w:rPr>
          <w:bCs/>
        </w:rPr>
        <w:t xml:space="preserve">Znacznie </w:t>
      </w:r>
      <w:r w:rsidRPr="007E08F7">
        <w:rPr>
          <w:b/>
        </w:rPr>
        <w:t>różnice wewnątrzregionalne dotyczą także dostępu do podstawowej opieki zdrowotnej</w:t>
      </w:r>
      <w:r w:rsidRPr="007E08F7">
        <w:rPr>
          <w:bCs/>
        </w:rPr>
        <w:t>. Największa liczba ośrodków udzielających tego typu świadczeń w odniesieniu do liczby ludności występuje w Łebie i Krynicy Morskiej. W 2025 r. cztery gminy były pozbawione ośrodków podstawowej opieki zdrowotnej, tj. gmina Malbork, Czarna Woda, Skórcz i Starogard Gdański</w:t>
      </w:r>
      <w:r w:rsidRPr="007E08F7">
        <w:rPr>
          <w:bCs/>
          <w:vertAlign w:val="superscript"/>
        </w:rPr>
        <w:footnoteReference w:id="68"/>
      </w:r>
      <w:r w:rsidRPr="007E08F7">
        <w:rPr>
          <w:bCs/>
        </w:rPr>
        <w:t>.</w:t>
      </w:r>
    </w:p>
    <w:p w14:paraId="34FE41AA" w14:textId="29802346" w:rsidR="00E52C92" w:rsidRPr="007E08F7" w:rsidRDefault="00E52C92">
      <w:pPr>
        <w:numPr>
          <w:ilvl w:val="0"/>
          <w:numId w:val="50"/>
        </w:numPr>
        <w:spacing w:before="120" w:after="120" w:line="288" w:lineRule="auto"/>
        <w:ind w:left="426" w:hanging="426"/>
      </w:pPr>
      <w:r w:rsidRPr="007E08F7">
        <w:rPr>
          <w:b/>
          <w:bCs/>
        </w:rPr>
        <w:t>Publiczna opieka geriatryczna jest ograniczona</w:t>
      </w:r>
      <w:r w:rsidRPr="007E08F7">
        <w:t xml:space="preserve"> i skoncentrowana w Trójmieście. W regionie funkcjonuje tylko pięć poradni geriatrycznych oraz trzy szpitale z</w:t>
      </w:r>
      <w:r w:rsidR="00A6130B" w:rsidRPr="007E08F7">
        <w:t> </w:t>
      </w:r>
      <w:r w:rsidRPr="007E08F7">
        <w:t xml:space="preserve">oddziałem geriatrycznym kontraktowane przez NFZ. </w:t>
      </w:r>
      <w:r w:rsidRPr="007E08F7">
        <w:rPr>
          <w:bCs/>
        </w:rPr>
        <w:t>Również dostęp do opieki długoterminowej jest znacznie zróżnicowany przestrzennie. Najniższa liczba ośrodków świadczących ten rodzaj opieki w odniesieniu do liczby mieszkańców charakteryzuje powiat kartuski, wejherowski i kościerski.</w:t>
      </w:r>
    </w:p>
    <w:p w14:paraId="1929F073" w14:textId="77777777" w:rsidR="00E52C92" w:rsidRPr="007E08F7" w:rsidRDefault="00E52C92">
      <w:pPr>
        <w:numPr>
          <w:ilvl w:val="0"/>
          <w:numId w:val="50"/>
        </w:numPr>
        <w:spacing w:before="120" w:after="120" w:line="288" w:lineRule="auto"/>
        <w:ind w:left="426" w:hanging="426"/>
        <w:rPr>
          <w:lang w:val="pl"/>
        </w:rPr>
      </w:pPr>
      <w:r w:rsidRPr="007E08F7">
        <w:rPr>
          <w:b/>
          <w:bCs/>
        </w:rPr>
        <w:t>Instytucje kultury wysokiej</w:t>
      </w:r>
      <w:r w:rsidRPr="007E08F7">
        <w:t xml:space="preserve">, niemal w całości </w:t>
      </w:r>
      <w:r w:rsidRPr="007E08F7">
        <w:rPr>
          <w:b/>
          <w:bCs/>
        </w:rPr>
        <w:t>skupione są w rdzeniu obszaru metropolitalnego</w:t>
      </w:r>
      <w:r w:rsidRPr="007E08F7">
        <w:t>, co rodzi bariery logistyczne oraz ekonomiczne dla mieszkańców pozostałych części regionu. W odpowiedzi na te deficyty, lokalna aktywność kulturalna realizowana jest w gminnych instytucjach kultury, gdzie koncentruje się wokół grup artystycznych, kół zainteresowań oraz imprez plenerowych. Formy te nie rekompensują dostępu do wysokiej kultury, ale częściowo niwelują strukturalne niedobory. Pełnią także kluczową rolę w podtrzymywaniu tożsamości regionalnej oraz skutecznie przeciwdziałają wykluczeniu społecznemu na obszarach oddalonych od rdzenia obszaru metropolitalnego.</w:t>
      </w:r>
    </w:p>
    <w:p w14:paraId="78FA2F82" w14:textId="77777777" w:rsidR="00E52C92" w:rsidRPr="007E08F7" w:rsidRDefault="00E52C92" w:rsidP="00A53565">
      <w:pPr>
        <w:pStyle w:val="Nagwek3"/>
      </w:pPr>
      <w:bookmarkStart w:id="28" w:name="_Toc239772056"/>
      <w:r w:rsidRPr="007E08F7">
        <w:lastRenderedPageBreak/>
        <w:t>Polaryzacja dostępności transportowej</w:t>
      </w:r>
      <w:bookmarkEnd w:id="28"/>
    </w:p>
    <w:p w14:paraId="30FD9639" w14:textId="357B43EA" w:rsidR="00E52C92" w:rsidRPr="007E08F7" w:rsidRDefault="00E52C92">
      <w:pPr>
        <w:numPr>
          <w:ilvl w:val="0"/>
          <w:numId w:val="50"/>
        </w:numPr>
        <w:spacing w:before="120" w:after="120" w:line="288" w:lineRule="auto"/>
        <w:ind w:left="426" w:hanging="426"/>
        <w:rPr>
          <w:bCs/>
        </w:rPr>
      </w:pPr>
      <w:r w:rsidRPr="007E08F7">
        <w:rPr>
          <w:bCs/>
        </w:rPr>
        <w:t xml:space="preserve">Struktura osiedleńcza regionu silnie oddziałuje na dostępność transportową województwa. </w:t>
      </w:r>
      <w:r w:rsidRPr="007E08F7">
        <w:t xml:space="preserve">Charakteryzuje się ono </w:t>
      </w:r>
      <w:r w:rsidRPr="007E08F7">
        <w:rPr>
          <w:b/>
          <w:bCs/>
        </w:rPr>
        <w:t>znacznym zróżnicowaniem zagrożenia wykluczeniem komunikacyjnym</w:t>
      </w:r>
      <w:r w:rsidRPr="007E08F7">
        <w:t>, a część jego obszaru należy do terenów o</w:t>
      </w:r>
      <w:r w:rsidR="00A6130B" w:rsidRPr="007E08F7">
        <w:t> </w:t>
      </w:r>
      <w:r w:rsidRPr="007E08F7">
        <w:t>największym nasileniu tego zjawiska w kraju. Gminy o bardzo niskim i niskim poziomie zagrożenia koncentrują się głównie w północnej części regionu, zwłaszcza w rejonie Trójmiasta i na północnym wschodzie, gdzie dostęp do infrastruktury transportowej i usług publicznych jest relatywnie dobry. Umiarkowane i wysokie ryzyko występuje przede wszystkim w centralnej części województwa, natomiast najwyższe zagrożenie dotyczy głównie południa i zachodu regionu oraz części wiejskich obszarów nadmorskich. Łącznie ponad 16% mieszkańców województwa jest zagrożonych wykluczeniem komunikacyjnym</w:t>
      </w:r>
      <w:r w:rsidRPr="007E08F7">
        <w:rPr>
          <w:vertAlign w:val="superscript"/>
        </w:rPr>
        <w:footnoteReference w:id="69"/>
      </w:r>
      <w:r w:rsidRPr="007E08F7">
        <w:t>. Ok. 32% miejscowości wiejskich nie jest obsługiwanych przez</w:t>
      </w:r>
      <w:r w:rsidR="00BF43CD" w:rsidRPr="007E08F7">
        <w:t xml:space="preserve"> publiczny</w:t>
      </w:r>
      <w:r w:rsidRPr="007E08F7">
        <w:t xml:space="preserve"> transport zbiorowy (ponad 5% mieszkańców województwa)</w:t>
      </w:r>
      <w:r w:rsidRPr="007E08F7">
        <w:rPr>
          <w:vertAlign w:val="superscript"/>
        </w:rPr>
        <w:footnoteReference w:id="70"/>
      </w:r>
      <w:r w:rsidRPr="007E08F7">
        <w:t xml:space="preserve">. Ograniczony dostęp do </w:t>
      </w:r>
      <w:r w:rsidR="00BF43CD" w:rsidRPr="007E08F7">
        <w:t xml:space="preserve">publicznego </w:t>
      </w:r>
      <w:r w:rsidRPr="007E08F7">
        <w:t>transportu zbiorowego utrudnia mieszkańcom dojazdy do pracy i usług publicznych, w tym edukacji i opieki zdrowotnej.</w:t>
      </w:r>
    </w:p>
    <w:p w14:paraId="0B78D643" w14:textId="0F73E2D7" w:rsidR="00E52C92" w:rsidRPr="007E08F7" w:rsidRDefault="00E52C92">
      <w:pPr>
        <w:numPr>
          <w:ilvl w:val="0"/>
          <w:numId w:val="50"/>
        </w:numPr>
        <w:spacing w:before="120" w:after="120" w:line="288" w:lineRule="auto"/>
        <w:ind w:left="426" w:hanging="426"/>
        <w:rPr>
          <w:bCs/>
        </w:rPr>
      </w:pPr>
      <w:r w:rsidRPr="007E08F7">
        <w:rPr>
          <w:b/>
        </w:rPr>
        <w:t>Część regionu należy do obszarów szczególnie zagrożonych ryzykiem ubóstwa transportowego</w:t>
      </w:r>
      <w:r w:rsidRPr="007E08F7">
        <w:rPr>
          <w:bCs/>
        </w:rPr>
        <w:t xml:space="preserve">. Uwzględnia ono zarówno bariery dochodowe, jak i ograniczoną dostępność usług </w:t>
      </w:r>
      <w:r w:rsidR="00BF43CD" w:rsidRPr="007E08F7">
        <w:rPr>
          <w:bCs/>
        </w:rPr>
        <w:t xml:space="preserve">publicznego </w:t>
      </w:r>
      <w:r w:rsidRPr="007E08F7">
        <w:rPr>
          <w:bCs/>
        </w:rPr>
        <w:t>transportu</w:t>
      </w:r>
      <w:r w:rsidR="00BF43CD" w:rsidRPr="007E08F7">
        <w:rPr>
          <w:bCs/>
        </w:rPr>
        <w:t xml:space="preserve"> zbiorowego</w:t>
      </w:r>
      <w:r w:rsidRPr="007E08F7">
        <w:rPr>
          <w:bCs/>
        </w:rPr>
        <w:t>. Dotyczy to w szczególności gmin położonych na zachodzie i południu województwa, części gmin nadmorskich, a także niektórych gmin w centralnej i wschodniej części regionu. Udział mieszkańców województwa potencjalnie zagrożonych ubóstwem transportowym to</w:t>
      </w:r>
      <w:r w:rsidR="00A6130B" w:rsidRPr="007E08F7">
        <w:rPr>
          <w:bCs/>
        </w:rPr>
        <w:t> </w:t>
      </w:r>
      <w:r w:rsidRPr="007E08F7">
        <w:rPr>
          <w:bCs/>
        </w:rPr>
        <w:t>ok. 19%, a gospodarstw domowych ok. 16%.</w:t>
      </w:r>
    </w:p>
    <w:p w14:paraId="35C07BBE" w14:textId="74ED629F" w:rsidR="00E52C92" w:rsidRPr="007E08F7" w:rsidRDefault="00E52C92">
      <w:pPr>
        <w:numPr>
          <w:ilvl w:val="0"/>
          <w:numId w:val="50"/>
        </w:numPr>
        <w:spacing w:before="120" w:after="120" w:line="288" w:lineRule="auto"/>
        <w:ind w:left="426" w:hanging="426"/>
      </w:pPr>
      <w:r w:rsidRPr="007E08F7">
        <w:t xml:space="preserve">Narastająca koncentracja aktywności społeczno-gospodarczej w metropolii prowadzi do </w:t>
      </w:r>
      <w:r w:rsidRPr="007E08F7">
        <w:rPr>
          <w:b/>
          <w:bCs/>
        </w:rPr>
        <w:t>przeciążenia głównych korytarzy transportowych</w:t>
      </w:r>
      <w:r w:rsidRPr="007E08F7">
        <w:t xml:space="preserve"> </w:t>
      </w:r>
      <w:r w:rsidR="00BF43CD" w:rsidRPr="007E08F7">
        <w:t>i</w:t>
      </w:r>
      <w:r w:rsidRPr="007E08F7">
        <w:t xml:space="preserve"> wzrostu kongestii.</w:t>
      </w:r>
      <w:r w:rsidRPr="007E08F7">
        <w:rPr>
          <w:bCs/>
        </w:rPr>
        <w:t xml:space="preserve"> W 2025 r. obszar metropolitalny zajął 64. miejsce pod względem kongestii na drogach wśród monitorowanych największych aglomeracji na świecie, a średni czas podróży w godzinach szczytu był wyraźnie dłuższy niż w czasie wolnym od zatorów</w:t>
      </w:r>
      <w:r w:rsidRPr="007E08F7">
        <w:rPr>
          <w:bCs/>
          <w:vertAlign w:val="superscript"/>
        </w:rPr>
        <w:footnoteReference w:id="71"/>
      </w:r>
      <w:r w:rsidRPr="007E08F7">
        <w:rPr>
          <w:bCs/>
        </w:rPr>
        <w:t>. Problemy z płynnością ruchu występują również poza metropolią, zwłaszcza w</w:t>
      </w:r>
      <w:r w:rsidR="00A6130B" w:rsidRPr="007E08F7">
        <w:rPr>
          <w:bCs/>
        </w:rPr>
        <w:t> </w:t>
      </w:r>
      <w:r w:rsidRPr="007E08F7">
        <w:rPr>
          <w:bCs/>
        </w:rPr>
        <w:t xml:space="preserve">miastach powiatowych, na odcinkach dróg krajowych. </w:t>
      </w:r>
    </w:p>
    <w:p w14:paraId="3457F2BA" w14:textId="77777777" w:rsidR="00E52C92" w:rsidRPr="007E08F7" w:rsidRDefault="00E52C92" w:rsidP="00A53565">
      <w:pPr>
        <w:pStyle w:val="Nagwek3"/>
      </w:pPr>
      <w:bookmarkStart w:id="29" w:name="_Toc239772057"/>
      <w:r w:rsidRPr="007E08F7">
        <w:lastRenderedPageBreak/>
        <w:t>Ryzyka skutków zmian klimatu</w:t>
      </w:r>
      <w:bookmarkEnd w:id="29"/>
    </w:p>
    <w:p w14:paraId="2D07A715" w14:textId="1DF95EF6" w:rsidR="00E52C92" w:rsidRPr="007E08F7" w:rsidRDefault="00E52C92">
      <w:pPr>
        <w:numPr>
          <w:ilvl w:val="0"/>
          <w:numId w:val="50"/>
        </w:numPr>
        <w:spacing w:before="120" w:after="120" w:line="288" w:lineRule="auto"/>
        <w:ind w:left="426" w:hanging="426"/>
      </w:pPr>
      <w:r w:rsidRPr="007E08F7">
        <w:rPr>
          <w:b/>
          <w:bCs/>
        </w:rPr>
        <w:t>Ryzyko powodziowe</w:t>
      </w:r>
      <w:r w:rsidRPr="007E08F7">
        <w:t xml:space="preserve"> jest jednym z ważniejszych problemów istotnych na obszarach wrażliwych hydrologicznie, zwłaszcza na Żuławach Wiślanych, terenach nadmorskich położonych nad Zatoką Gdańską i morzem oraz w zlewniach większości pomorskich rzek. Szczególnie dotyczy Żuław, ze względu na ich depresyjny charakter, co uniemożliwia grawitacyjny odpływ wód i powoduje konieczność ich mechanicznego odpompowywania. Największym źródłem ryzyka pozostaje Wisła, ale w dłuższym horyzoncie czasowym rośnie ryzyko stopniowego podnoszenia się poziomu Morza Bałtyckiego i wpływ tego zjawiska na bezpieczeństwo terenów zurbanizowanych i infrastruktury położonej nad jego brzegiem. Niebezpieczne sytuacje powodziowe mogą też być związane z</w:t>
      </w:r>
      <w:r w:rsidR="00A6130B" w:rsidRPr="007E08F7">
        <w:t> </w:t>
      </w:r>
      <w:r w:rsidRPr="007E08F7">
        <w:t>wezbraniami sztormowymi i cofką od morza, co znacznie zwiększa ryzyko w pasie nadbrzeżnym. Mimo prowadzonych inwestycji, m.in. w ramach Programu Kompleksowego zabezpieczenia przeciwpowodziowego Żuław, utrzymuje się potrzeba dalszego wzmacniania ochrony przeciwpowodziowej, uwzględniającej zarówno zagrożenia rzeczne, jak i oddziaływanie morza.</w:t>
      </w:r>
    </w:p>
    <w:p w14:paraId="732AFF97" w14:textId="417DC2D6" w:rsidR="005A16F7" w:rsidRPr="007E08F7" w:rsidRDefault="005A16F7" w:rsidP="005A16F7">
      <w:pPr>
        <w:pStyle w:val="Legenda"/>
        <w:keepNext/>
        <w:rPr>
          <w:i w:val="0"/>
          <w:iCs w:val="0"/>
          <w:sz w:val="24"/>
          <w:szCs w:val="24"/>
        </w:rPr>
      </w:pPr>
      <w:bookmarkStart w:id="30" w:name="_Toc239689653"/>
      <w:r w:rsidRPr="007E08F7">
        <w:rPr>
          <w:i w:val="0"/>
          <w:iCs w:val="0"/>
          <w:sz w:val="24"/>
          <w:szCs w:val="24"/>
        </w:rPr>
        <w:t xml:space="preserve">Rysunek </w:t>
      </w:r>
      <w:r w:rsidRPr="007E08F7">
        <w:rPr>
          <w:i w:val="0"/>
          <w:iCs w:val="0"/>
          <w:sz w:val="24"/>
          <w:szCs w:val="24"/>
        </w:rPr>
        <w:fldChar w:fldCharType="begin"/>
      </w:r>
      <w:r w:rsidRPr="007E08F7">
        <w:rPr>
          <w:i w:val="0"/>
          <w:iCs w:val="0"/>
          <w:sz w:val="24"/>
          <w:szCs w:val="24"/>
        </w:rPr>
        <w:instrText xml:space="preserve"> SEQ Rysunek \* ARABIC </w:instrText>
      </w:r>
      <w:r w:rsidRPr="007E08F7">
        <w:rPr>
          <w:i w:val="0"/>
          <w:iCs w:val="0"/>
          <w:sz w:val="24"/>
          <w:szCs w:val="24"/>
        </w:rPr>
        <w:fldChar w:fldCharType="separate"/>
      </w:r>
      <w:r w:rsidR="00AD5F45" w:rsidRPr="007E08F7">
        <w:rPr>
          <w:i w:val="0"/>
          <w:iCs w:val="0"/>
          <w:noProof/>
          <w:sz w:val="24"/>
          <w:szCs w:val="24"/>
        </w:rPr>
        <w:t>1</w:t>
      </w:r>
      <w:r w:rsidRPr="007E08F7">
        <w:rPr>
          <w:i w:val="0"/>
          <w:iCs w:val="0"/>
          <w:sz w:val="24"/>
          <w:szCs w:val="24"/>
        </w:rPr>
        <w:fldChar w:fldCharType="end"/>
      </w:r>
      <w:r w:rsidR="00A971B4" w:rsidRPr="007E08F7">
        <w:rPr>
          <w:i w:val="0"/>
          <w:iCs w:val="0"/>
          <w:sz w:val="24"/>
          <w:szCs w:val="24"/>
        </w:rPr>
        <w:t xml:space="preserve"> </w:t>
      </w:r>
      <w:r w:rsidRPr="007E08F7">
        <w:rPr>
          <w:i w:val="0"/>
          <w:iCs w:val="0"/>
          <w:sz w:val="24"/>
          <w:szCs w:val="24"/>
        </w:rPr>
        <w:t>Obszary szczególnego zagrożenia powodzią oraz infrastruktura ochrony przeciwpowodziowej</w:t>
      </w:r>
      <w:r w:rsidR="00A971B4" w:rsidRPr="007E08F7">
        <w:rPr>
          <w:rStyle w:val="Odwoanieprzypisudolnego"/>
          <w:i w:val="0"/>
          <w:iCs w:val="0"/>
          <w:sz w:val="24"/>
          <w:szCs w:val="24"/>
        </w:rPr>
        <w:footnoteReference w:id="72"/>
      </w:r>
      <w:bookmarkEnd w:id="30"/>
    </w:p>
    <w:p w14:paraId="6168D92C" w14:textId="77777777" w:rsidR="005A16F7" w:rsidRPr="007E08F7" w:rsidRDefault="00E52C92" w:rsidP="005A16F7">
      <w:pPr>
        <w:keepNext/>
        <w:ind w:left="426" w:hanging="426"/>
      </w:pPr>
      <w:r w:rsidRPr="007E08F7">
        <w:rPr>
          <w:noProof/>
        </w:rPr>
        <w:drawing>
          <wp:inline distT="0" distB="0" distL="0" distR="0" wp14:anchorId="66DD1511" wp14:editId="007C54D5">
            <wp:extent cx="4863045" cy="3454400"/>
            <wp:effectExtent l="19050" t="19050" r="13970" b="12700"/>
            <wp:docPr id="1" name="Obraz 1" descr="Strefy zagrożenia powodziowego na Pomorzu, w szczególności strefa nadbrzeżna oraz Żuławy. Oznaczona infrastruktura ochrony przeciwpowodziowej - pompownie odwadniające, wrota przeciwsztormowe , wrota i wały przeciwpowodziowe, wały, jazy, ślu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trefy zagrożenia powodziowego na Pomorzu, w szczególności strefa nadbrzeżna oraz Żuławy. Oznaczona infrastruktura ochrony przeciwpowodziowej - pompownie odwadniające, wrota przeciwsztormowe , wrota i wały przeciwpowodziowe, wały, jazy, śluzy"/>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45" r="691" b="-1"/>
                    <a:stretch>
                      <a:fillRect/>
                    </a:stretch>
                  </pic:blipFill>
                  <pic:spPr bwMode="auto">
                    <a:xfrm>
                      <a:off x="0" y="0"/>
                      <a:ext cx="4970663" cy="3530845"/>
                    </a:xfrm>
                    <a:prstGeom prst="rect">
                      <a:avLst/>
                    </a:prstGeom>
                    <a:noFill/>
                    <a:ln w="12700" cap="flat" cmpd="sng" algn="ctr">
                      <a:solidFill>
                        <a:srgbClr val="4472C4">
                          <a:lumMod val="40000"/>
                          <a:lumOff val="6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42B64C" w14:textId="1E5A5BA6" w:rsidR="00D77400" w:rsidRPr="007E08F7" w:rsidRDefault="00E52C92" w:rsidP="00F865C3">
      <w:pPr>
        <w:rPr>
          <w:sz w:val="20"/>
          <w:szCs w:val="20"/>
        </w:rPr>
      </w:pPr>
      <w:r w:rsidRPr="007E08F7">
        <w:rPr>
          <w:sz w:val="20"/>
          <w:szCs w:val="20"/>
        </w:rPr>
        <w:t>Źródło: Opracowanie własne na podstawie map zagrożenia powodziowego (mapa</w:t>
      </w:r>
      <w:r w:rsidR="00A971B4" w:rsidRPr="007E08F7">
        <w:rPr>
          <w:sz w:val="20"/>
          <w:szCs w:val="20"/>
        </w:rPr>
        <w:t xml:space="preserve"> </w:t>
      </w:r>
      <w:r w:rsidRPr="007E08F7">
        <w:rPr>
          <w:sz w:val="20"/>
          <w:szCs w:val="20"/>
        </w:rPr>
        <w:t>poglądowa)</w:t>
      </w:r>
      <w:r w:rsidR="00F865C3" w:rsidRPr="007E08F7">
        <w:rPr>
          <w:sz w:val="20"/>
          <w:szCs w:val="20"/>
        </w:rPr>
        <w:t>.</w:t>
      </w:r>
    </w:p>
    <w:p w14:paraId="34B92F81" w14:textId="77777777" w:rsidR="00E52C92" w:rsidRPr="007E08F7" w:rsidRDefault="00E52C92">
      <w:pPr>
        <w:numPr>
          <w:ilvl w:val="0"/>
          <w:numId w:val="50"/>
        </w:numPr>
        <w:ind w:left="426" w:hanging="426"/>
      </w:pPr>
      <w:r w:rsidRPr="007E08F7">
        <w:lastRenderedPageBreak/>
        <w:t>Ryzyko</w:t>
      </w:r>
      <w:r w:rsidRPr="007E08F7">
        <w:rPr>
          <w:b/>
          <w:bCs/>
        </w:rPr>
        <w:t xml:space="preserve"> suszy hydrologicznej i rolniczej</w:t>
      </w:r>
      <w:r w:rsidRPr="007E08F7">
        <w:t xml:space="preserve"> jest zróżnicowane przestrzennie, ale szczególnie dotyczy obszarów o istotnej funkcji rolniczej i leśnej, zwłaszcza w części środkowej, zachodniej i południowo-wschodniej regionu. Wrażliwe pozostają również Żuławy, gdzie utrzymanie właściwych stosunków wodnych ma znaczenie zarówno dla produkcji rolnej, jak i funkcjonowania systemów melioracyjnych</w:t>
      </w:r>
      <w:r w:rsidRPr="007E08F7">
        <w:rPr>
          <w:vertAlign w:val="superscript"/>
        </w:rPr>
        <w:footnoteReference w:id="73"/>
      </w:r>
      <w:r w:rsidRPr="007E08F7">
        <w:t>.</w:t>
      </w:r>
    </w:p>
    <w:p w14:paraId="0F13E640" w14:textId="14CF3DF2" w:rsidR="0048470E" w:rsidRPr="007E08F7" w:rsidRDefault="00E52C92">
      <w:pPr>
        <w:keepNext/>
        <w:numPr>
          <w:ilvl w:val="0"/>
          <w:numId w:val="50"/>
        </w:numPr>
        <w:spacing w:before="120" w:after="120" w:line="288" w:lineRule="auto"/>
        <w:ind w:left="426" w:hanging="426"/>
        <w:rPr>
          <w:rFonts w:asciiTheme="minorHAnsi" w:hAnsiTheme="minorHAnsi"/>
        </w:rPr>
      </w:pPr>
      <w:r w:rsidRPr="007E08F7">
        <w:t xml:space="preserve">W miastach coraz większego znaczenia nabiera nie tylko ograniczanie skutków nawalnych opadów, ale także </w:t>
      </w:r>
      <w:r w:rsidRPr="007E08F7">
        <w:rPr>
          <w:b/>
          <w:bCs/>
        </w:rPr>
        <w:t>miejskich wysp ciepła</w:t>
      </w:r>
      <w:r w:rsidRPr="007E08F7">
        <w:t xml:space="preserve">. Wysoki stopień uszczelnienia powierzchni, koncentracja zabudowy i presja urbanizacyjna zwiększają wrażliwość obszarów miejskich zarówno na podtopienia, jak i przegrzewanie przestrzeni publicznych, dlatego kluczowe staje się wzmacnianie błękitno-zielonej infrastruktury, retencji, zacienienia i </w:t>
      </w:r>
      <w:proofErr w:type="spellStart"/>
      <w:r w:rsidRPr="007E08F7">
        <w:t>rozszczelniania</w:t>
      </w:r>
      <w:proofErr w:type="spellEnd"/>
      <w:r w:rsidRPr="007E08F7">
        <w:t xml:space="preserve"> powierzchni</w:t>
      </w:r>
      <w:r w:rsidR="00793A2A" w:rsidRPr="007E08F7">
        <w:t>.</w:t>
      </w:r>
    </w:p>
    <w:p w14:paraId="53473440" w14:textId="6D3B3E3B" w:rsidR="0048470E" w:rsidRPr="007E08F7" w:rsidRDefault="0048470E" w:rsidP="0048470E">
      <w:pPr>
        <w:keepNext/>
        <w:spacing w:before="120" w:after="120" w:line="288" w:lineRule="auto"/>
        <w:rPr>
          <w:rFonts w:asciiTheme="minorHAnsi" w:eastAsia="Aptos" w:hAnsiTheme="minorHAnsi" w:cs="Times New Roman"/>
          <w:b/>
          <w:bCs/>
          <w:color w:val="215E99" w:themeColor="text2" w:themeTint="BF"/>
          <w:kern w:val="0"/>
          <w:sz w:val="28"/>
          <w:szCs w:val="28"/>
          <w14:ligatures w14:val="none"/>
        </w:rPr>
        <w:sectPr w:rsidR="0048470E" w:rsidRPr="007E08F7" w:rsidSect="00B3693D">
          <w:footerReference w:type="default" r:id="rId10"/>
          <w:headerReference w:type="first" r:id="rId11"/>
          <w:pgSz w:w="11906" w:h="16838"/>
          <w:pgMar w:top="1417" w:right="1417" w:bottom="1417" w:left="1417" w:header="708" w:footer="708" w:gutter="0"/>
          <w:cols w:space="708"/>
          <w:titlePg/>
          <w:docGrid w:linePitch="360"/>
        </w:sectPr>
      </w:pPr>
    </w:p>
    <w:p w14:paraId="1D12C234" w14:textId="263F3B79" w:rsidR="00F40592" w:rsidRPr="007E08F7" w:rsidRDefault="00FC1373" w:rsidP="00ED2A62">
      <w:pPr>
        <w:rPr>
          <w:b/>
          <w:bCs/>
        </w:rPr>
      </w:pPr>
      <w:r w:rsidRPr="007E08F7">
        <w:rPr>
          <w:b/>
          <w:bCs/>
        </w:rPr>
        <w:lastRenderedPageBreak/>
        <w:t xml:space="preserve">Tabela </w:t>
      </w:r>
      <w:r w:rsidR="0033503B" w:rsidRPr="007E08F7">
        <w:rPr>
          <w:b/>
          <w:bCs/>
        </w:rPr>
        <w:t xml:space="preserve">1. </w:t>
      </w:r>
      <w:r w:rsidR="00ED2A62" w:rsidRPr="007E08F7">
        <w:rPr>
          <w:b/>
          <w:bCs/>
        </w:rPr>
        <w:t>Potencjały i problemy województwa pomorskiego</w:t>
      </w:r>
    </w:p>
    <w:tbl>
      <w:tblPr>
        <w:tblStyle w:val="Tabelalisty7kolorowaakcent41"/>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Caption w:val="Tabela 1. Potencjały i problemy województwa pomorskiego"/>
      </w:tblPr>
      <w:tblGrid>
        <w:gridCol w:w="2244"/>
        <w:gridCol w:w="285"/>
        <w:gridCol w:w="5103"/>
        <w:gridCol w:w="282"/>
        <w:gridCol w:w="6044"/>
      </w:tblGrid>
      <w:tr w:rsidR="00F40592" w:rsidRPr="007E08F7" w14:paraId="568D0B5F" w14:textId="77777777" w:rsidTr="00FA266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6" w:type="pct"/>
            <w:gridSpan w:val="2"/>
            <w:tcBorders>
              <w:bottom w:val="single" w:sz="18" w:space="0" w:color="FFFFFF"/>
              <w:right w:val="none" w:sz="0" w:space="0" w:color="auto"/>
            </w:tcBorders>
            <w:shd w:val="clear" w:color="auto" w:fill="153D63" w:themeFill="text2" w:themeFillTint="E6"/>
          </w:tcPr>
          <w:p w14:paraId="73B0F4B1" w14:textId="4EC4F804" w:rsidR="00F40592" w:rsidRPr="007E08F7" w:rsidRDefault="00CA5613" w:rsidP="00684A7B">
            <w:pPr>
              <w:spacing w:before="80" w:after="80" w:line="288" w:lineRule="auto"/>
              <w:jc w:val="left"/>
              <w:rPr>
                <w:rFonts w:asciiTheme="minorHAnsi" w:eastAsia="Aptos" w:hAnsiTheme="minorHAnsi"/>
                <w:b/>
                <w:bCs/>
                <w:i w:val="0"/>
                <w:iCs w:val="0"/>
                <w:color w:val="auto"/>
                <w:kern w:val="0"/>
                <w:sz w:val="24"/>
                <w:szCs w:val="24"/>
                <w14:ligatures w14:val="none"/>
              </w:rPr>
            </w:pPr>
            <w:r w:rsidRPr="007E08F7">
              <w:rPr>
                <w:rFonts w:asciiTheme="minorHAnsi" w:eastAsia="Aptos" w:hAnsiTheme="minorHAnsi"/>
                <w:b/>
                <w:bCs/>
                <w:i w:val="0"/>
                <w:iCs w:val="0"/>
                <w:color w:val="auto"/>
                <w:kern w:val="0"/>
                <w:sz w:val="24"/>
                <w:szCs w:val="24"/>
                <w14:ligatures w14:val="none"/>
              </w:rPr>
              <w:t>Sytuacja regionu</w:t>
            </w:r>
          </w:p>
        </w:tc>
        <w:tc>
          <w:tcPr>
            <w:tcW w:w="1929" w:type="pct"/>
            <w:gridSpan w:val="2"/>
            <w:tcBorders>
              <w:bottom w:val="single" w:sz="18" w:space="0" w:color="FFFFFF"/>
            </w:tcBorders>
            <w:shd w:val="clear" w:color="auto" w:fill="153D63" w:themeFill="text2" w:themeFillTint="E6"/>
          </w:tcPr>
          <w:p w14:paraId="66A82628" w14:textId="77777777" w:rsidR="00F40592" w:rsidRPr="007E08F7" w:rsidRDefault="00F40592" w:rsidP="00684A7B">
            <w:pPr>
              <w:spacing w:before="80" w:after="80" w:line="288" w:lineRule="auto"/>
              <w:cnfStyle w:val="100000000000" w:firstRow="1" w:lastRow="0" w:firstColumn="0" w:lastColumn="0" w:oddVBand="0" w:evenVBand="0" w:oddHBand="0" w:evenHBand="0" w:firstRowFirstColumn="0" w:firstRowLastColumn="0" w:lastRowFirstColumn="0" w:lastRowLastColumn="0"/>
              <w:rPr>
                <w:rFonts w:asciiTheme="minorHAnsi" w:eastAsia="Aptos" w:hAnsiTheme="minorHAnsi"/>
                <w:b/>
                <w:bCs/>
                <w:i w:val="0"/>
                <w:iCs w:val="0"/>
                <w:color w:val="auto"/>
                <w:kern w:val="0"/>
                <w:sz w:val="24"/>
                <w:szCs w:val="24"/>
                <w14:ligatures w14:val="none"/>
              </w:rPr>
            </w:pPr>
            <w:r w:rsidRPr="007E08F7">
              <w:rPr>
                <w:rFonts w:asciiTheme="minorHAnsi" w:eastAsia="Aptos" w:hAnsiTheme="minorHAnsi"/>
                <w:b/>
                <w:bCs/>
                <w:i w:val="0"/>
                <w:iCs w:val="0"/>
                <w:color w:val="auto"/>
                <w:kern w:val="0"/>
                <w:sz w:val="24"/>
                <w:szCs w:val="24"/>
                <w14:ligatures w14:val="none"/>
              </w:rPr>
              <w:t>Potencjały</w:t>
            </w:r>
          </w:p>
        </w:tc>
        <w:tc>
          <w:tcPr>
            <w:tcW w:w="2165" w:type="pct"/>
            <w:tcBorders>
              <w:bottom w:val="single" w:sz="18" w:space="0" w:color="FFFFFF"/>
            </w:tcBorders>
            <w:shd w:val="clear" w:color="auto" w:fill="153D63" w:themeFill="text2" w:themeFillTint="E6"/>
          </w:tcPr>
          <w:p w14:paraId="5BCCB01C" w14:textId="77777777" w:rsidR="00F40592" w:rsidRPr="007E08F7" w:rsidRDefault="00F40592" w:rsidP="00684A7B">
            <w:pPr>
              <w:spacing w:before="80" w:after="80" w:line="288" w:lineRule="auto"/>
              <w:cnfStyle w:val="100000000000" w:firstRow="1" w:lastRow="0" w:firstColumn="0" w:lastColumn="0" w:oddVBand="0" w:evenVBand="0" w:oddHBand="0" w:evenHBand="0" w:firstRowFirstColumn="0" w:firstRowLastColumn="0" w:lastRowFirstColumn="0" w:lastRowLastColumn="0"/>
              <w:rPr>
                <w:rFonts w:asciiTheme="minorHAnsi" w:eastAsia="Aptos" w:hAnsiTheme="minorHAnsi"/>
                <w:b/>
                <w:bCs/>
                <w:i w:val="0"/>
                <w:iCs w:val="0"/>
                <w:color w:val="auto"/>
                <w:kern w:val="0"/>
                <w:sz w:val="24"/>
                <w:szCs w:val="24"/>
                <w14:ligatures w14:val="none"/>
              </w:rPr>
            </w:pPr>
            <w:r w:rsidRPr="007E08F7">
              <w:rPr>
                <w:rFonts w:asciiTheme="minorHAnsi" w:eastAsia="Aptos" w:hAnsiTheme="minorHAnsi"/>
                <w:b/>
                <w:bCs/>
                <w:i w:val="0"/>
                <w:iCs w:val="0"/>
                <w:color w:val="auto"/>
                <w:kern w:val="0"/>
                <w:sz w:val="24"/>
                <w:szCs w:val="24"/>
                <w14:ligatures w14:val="none"/>
              </w:rPr>
              <w:t>Problemy</w:t>
            </w:r>
          </w:p>
        </w:tc>
      </w:tr>
      <w:tr w:rsidR="003420E3" w:rsidRPr="007E08F7" w14:paraId="52AD8E54" w14:textId="77777777" w:rsidTr="00FA2668">
        <w:trPr>
          <w:cnfStyle w:val="000000100000" w:firstRow="0" w:lastRow="0" w:firstColumn="0" w:lastColumn="0" w:oddVBand="0" w:evenVBand="0" w:oddHBand="1" w:evenHBand="0" w:firstRowFirstColumn="0" w:firstRowLastColumn="0" w:lastRowFirstColumn="0" w:lastRowLastColumn="0"/>
          <w:trHeight w:val="1093"/>
        </w:trPr>
        <w:tc>
          <w:tcPr>
            <w:cnfStyle w:val="001000000000" w:firstRow="0" w:lastRow="0" w:firstColumn="1" w:lastColumn="0" w:oddVBand="0" w:evenVBand="0" w:oddHBand="0" w:evenHBand="0" w:firstRowFirstColumn="0" w:firstRowLastColumn="0" w:lastRowFirstColumn="0" w:lastRowLastColumn="0"/>
            <w:tcW w:w="906" w:type="pct"/>
            <w:gridSpan w:val="2"/>
            <w:tcBorders>
              <w:bottom w:val="single" w:sz="18" w:space="0" w:color="FFFFFF"/>
              <w:right w:val="none" w:sz="0" w:space="0" w:color="auto"/>
            </w:tcBorders>
            <w:shd w:val="clear" w:color="auto" w:fill="F2F2F2" w:themeFill="background1" w:themeFillShade="F2"/>
          </w:tcPr>
          <w:p w14:paraId="7BFA163F" w14:textId="02E35DEA" w:rsidR="003420E3" w:rsidRPr="007E08F7" w:rsidRDefault="003420E3" w:rsidP="00E9460B">
            <w:pPr>
              <w:spacing w:before="720" w:after="80" w:line="288" w:lineRule="auto"/>
              <w:jc w:val="left"/>
              <w:rPr>
                <w:rFonts w:asciiTheme="minorHAnsi" w:eastAsia="Aptos" w:hAnsiTheme="minorHAnsi"/>
                <w:b/>
                <w:bCs/>
                <w:i w:val="0"/>
                <w:iCs w:val="0"/>
                <w:color w:val="215E99" w:themeColor="text2" w:themeTint="BF"/>
                <w:kern w:val="0"/>
                <w:sz w:val="24"/>
                <w:szCs w:val="24"/>
                <w14:ligatures w14:val="none"/>
              </w:rPr>
            </w:pPr>
            <w:r w:rsidRPr="007E08F7">
              <w:rPr>
                <w:rFonts w:asciiTheme="minorHAnsi" w:eastAsiaTheme="minorHAnsi" w:hAnsiTheme="minorHAnsi"/>
                <w:b/>
                <w:bCs/>
                <w:i w:val="0"/>
                <w:iCs w:val="0"/>
                <w:color w:val="215E99" w:themeColor="text2" w:themeTint="BF"/>
                <w:sz w:val="24"/>
                <w:szCs w:val="24"/>
              </w:rPr>
              <w:t>Sytuacja gospodarcza</w:t>
            </w:r>
          </w:p>
        </w:tc>
        <w:tc>
          <w:tcPr>
            <w:tcW w:w="1929" w:type="pct"/>
            <w:gridSpan w:val="2"/>
            <w:tcBorders>
              <w:bottom w:val="single" w:sz="18" w:space="0" w:color="FFFFFF"/>
            </w:tcBorders>
            <w:shd w:val="clear" w:color="auto" w:fill="F2F2F2" w:themeFill="background1" w:themeFillShade="F2"/>
          </w:tcPr>
          <w:p w14:paraId="67967AD3" w14:textId="77777777"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Relatywnie silna gospodarka, wysoka przedsiębiorczość i wydajność pracy </w:t>
            </w:r>
          </w:p>
          <w:p w14:paraId="12F2DFED" w14:textId="77777777"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Silny potencjał B+R, znaczny poziom innowacyjności na tle kraju</w:t>
            </w:r>
            <w:r w:rsidRPr="007E08F7" w:rsidDel="00860465">
              <w:rPr>
                <w:rFonts w:asciiTheme="minorHAnsi" w:hAnsiTheme="minorHAnsi"/>
                <w:color w:val="auto"/>
                <w:sz w:val="24"/>
                <w:szCs w:val="24"/>
              </w:rPr>
              <w:t xml:space="preserve"> </w:t>
            </w:r>
          </w:p>
          <w:p w14:paraId="0A854777" w14:textId="54B81660"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Rozwinięta sieć uczelni </w:t>
            </w:r>
            <w:r w:rsidR="00E9460B" w:rsidRPr="007E08F7">
              <w:rPr>
                <w:rFonts w:asciiTheme="minorHAnsi" w:hAnsiTheme="minorHAnsi"/>
                <w:color w:val="auto"/>
                <w:sz w:val="24"/>
                <w:szCs w:val="24"/>
              </w:rPr>
              <w:br/>
            </w:r>
            <w:r w:rsidRPr="007E08F7">
              <w:rPr>
                <w:rFonts w:asciiTheme="minorHAnsi" w:hAnsiTheme="minorHAnsi"/>
                <w:color w:val="auto"/>
                <w:sz w:val="24"/>
                <w:szCs w:val="24"/>
              </w:rPr>
              <w:t>i instytucji badawczych</w:t>
            </w:r>
          </w:p>
          <w:p w14:paraId="361354D5" w14:textId="77777777"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Wysoka atrakcyjność inwestycyjna regionu</w:t>
            </w:r>
          </w:p>
          <w:p w14:paraId="1EAA367D" w14:textId="77777777"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Rozwój szkolnictwa zawodowego</w:t>
            </w:r>
          </w:p>
          <w:p w14:paraId="02F91B5A" w14:textId="4E720B7D"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Istotny międzynarodowy węzeł </w:t>
            </w:r>
            <w:r w:rsidR="00E9460B" w:rsidRPr="007E08F7">
              <w:rPr>
                <w:rFonts w:asciiTheme="minorHAnsi" w:hAnsiTheme="minorHAnsi"/>
                <w:color w:val="auto"/>
                <w:sz w:val="24"/>
                <w:szCs w:val="24"/>
              </w:rPr>
              <w:br/>
            </w:r>
            <w:r w:rsidRPr="007E08F7">
              <w:rPr>
                <w:rFonts w:asciiTheme="minorHAnsi" w:hAnsiTheme="minorHAnsi"/>
                <w:color w:val="auto"/>
                <w:sz w:val="24"/>
                <w:szCs w:val="24"/>
              </w:rPr>
              <w:t>transportowo-logistyczny – porty, lotnisko i</w:t>
            </w:r>
            <w:r w:rsidR="00E9460B" w:rsidRPr="007E08F7">
              <w:rPr>
                <w:rFonts w:asciiTheme="minorHAnsi" w:hAnsiTheme="minorHAnsi"/>
                <w:color w:val="auto"/>
                <w:sz w:val="24"/>
                <w:szCs w:val="24"/>
              </w:rPr>
              <w:t> </w:t>
            </w:r>
            <w:r w:rsidRPr="007E08F7">
              <w:rPr>
                <w:rFonts w:asciiTheme="minorHAnsi" w:hAnsiTheme="minorHAnsi"/>
                <w:color w:val="auto"/>
                <w:sz w:val="24"/>
                <w:szCs w:val="24"/>
              </w:rPr>
              <w:t>rozwijający się hub</w:t>
            </w:r>
            <w:r w:rsidR="00E9460B" w:rsidRPr="007E08F7">
              <w:rPr>
                <w:rFonts w:asciiTheme="minorHAnsi" w:hAnsiTheme="minorHAnsi"/>
                <w:color w:val="auto"/>
                <w:sz w:val="24"/>
                <w:szCs w:val="24"/>
              </w:rPr>
              <w:t> </w:t>
            </w:r>
            <w:r w:rsidRPr="007E08F7">
              <w:rPr>
                <w:rFonts w:asciiTheme="minorHAnsi" w:hAnsiTheme="minorHAnsi"/>
                <w:color w:val="auto"/>
                <w:sz w:val="24"/>
                <w:szCs w:val="24"/>
              </w:rPr>
              <w:t>logistyczny</w:t>
            </w:r>
          </w:p>
          <w:p w14:paraId="299AF92E" w14:textId="77777777"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Rozwinięty przemysł stoczniowy</w:t>
            </w:r>
          </w:p>
          <w:p w14:paraId="33B45DDF" w14:textId="77777777" w:rsidR="00436A08"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Wysoki potencjał rozwoju OZE, energetyki wiatrowej, </w:t>
            </w:r>
            <w:proofErr w:type="spellStart"/>
            <w:r w:rsidRPr="007E08F7">
              <w:rPr>
                <w:rFonts w:asciiTheme="minorHAnsi" w:hAnsiTheme="minorHAnsi"/>
                <w:color w:val="auto"/>
                <w:sz w:val="24"/>
                <w:szCs w:val="24"/>
              </w:rPr>
              <w:t>offshore</w:t>
            </w:r>
            <w:proofErr w:type="spellEnd"/>
            <w:r w:rsidRPr="007E08F7">
              <w:rPr>
                <w:rFonts w:asciiTheme="minorHAnsi" w:hAnsiTheme="minorHAnsi"/>
                <w:color w:val="auto"/>
                <w:sz w:val="24"/>
                <w:szCs w:val="24"/>
              </w:rPr>
              <w:t xml:space="preserve"> i rozproszonej, lokalizacja pierwszej w Polsce elektrowni jądrowej</w:t>
            </w:r>
          </w:p>
          <w:p w14:paraId="552467E8" w14:textId="60036F1A" w:rsidR="00E9460B"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Silnie rozwinięty sektor turystyczny, dzięki atrakcyjnemu położeniu nad Morzem Bałtyckim oraz bogatej ofercie</w:t>
            </w:r>
          </w:p>
        </w:tc>
        <w:tc>
          <w:tcPr>
            <w:tcW w:w="2165" w:type="pct"/>
            <w:tcBorders>
              <w:bottom w:val="single" w:sz="18" w:space="0" w:color="FFFFFF"/>
            </w:tcBorders>
            <w:shd w:val="clear" w:color="auto" w:fill="F2F2F2" w:themeFill="background1" w:themeFillShade="F2"/>
          </w:tcPr>
          <w:p w14:paraId="1A6BFF8A" w14:textId="77777777" w:rsidR="003420E3" w:rsidRPr="007E08F7" w:rsidRDefault="003420E3">
            <w:pPr>
              <w:numPr>
                <w:ilvl w:val="0"/>
                <w:numId w:val="16"/>
              </w:numPr>
              <w:spacing w:before="80" w:after="8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Poziom innowacyjności niższy niż średnio w UE</w:t>
            </w:r>
          </w:p>
          <w:p w14:paraId="3C370489" w14:textId="77777777" w:rsidR="003420E3" w:rsidRPr="007E08F7" w:rsidRDefault="003420E3">
            <w:pPr>
              <w:numPr>
                <w:ilvl w:val="0"/>
                <w:numId w:val="16"/>
              </w:numPr>
              <w:spacing w:before="80" w:after="8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Rosnące koszty pracy obniżające konkurencyjność przedsiębiorstw</w:t>
            </w:r>
          </w:p>
          <w:p w14:paraId="25B5C67A" w14:textId="77777777" w:rsidR="003420E3" w:rsidRPr="007E08F7" w:rsidRDefault="003420E3">
            <w:pPr>
              <w:numPr>
                <w:ilvl w:val="0"/>
                <w:numId w:val="16"/>
              </w:numPr>
              <w:spacing w:before="80" w:after="8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Niedobór i starzenie się oraz niedopasowanie kompetencyjne zasobów pracy</w:t>
            </w:r>
          </w:p>
          <w:p w14:paraId="498BED78" w14:textId="77777777" w:rsidR="003420E3" w:rsidRPr="007E08F7" w:rsidRDefault="003420E3">
            <w:pPr>
              <w:numPr>
                <w:ilvl w:val="0"/>
                <w:numId w:val="16"/>
              </w:numPr>
              <w:spacing w:before="80" w:after="8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Niewystarczające kompetencje przyszłości mieszkańców</w:t>
            </w:r>
          </w:p>
          <w:p w14:paraId="1821E272" w14:textId="77777777" w:rsidR="003420E3" w:rsidRPr="007E08F7" w:rsidRDefault="003420E3">
            <w:pPr>
              <w:numPr>
                <w:ilvl w:val="0"/>
                <w:numId w:val="16"/>
              </w:numPr>
              <w:spacing w:before="80" w:after="8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Niewystarczająca dostępność kolejowa, drogowa i rzeczna portów morskich</w:t>
            </w:r>
          </w:p>
          <w:p w14:paraId="30A0C746" w14:textId="2BDB4D49" w:rsidR="00436A08" w:rsidRPr="007E08F7" w:rsidRDefault="003420E3">
            <w:pPr>
              <w:numPr>
                <w:ilvl w:val="0"/>
                <w:numId w:val="16"/>
              </w:numPr>
              <w:spacing w:before="80" w:after="8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Ograniczenia sieci przesyłowych i</w:t>
            </w:r>
            <w:r w:rsidR="00E9460B" w:rsidRPr="007E08F7">
              <w:rPr>
                <w:rFonts w:asciiTheme="minorHAnsi" w:hAnsiTheme="minorHAnsi"/>
                <w:color w:val="auto"/>
                <w:sz w:val="24"/>
                <w:szCs w:val="24"/>
              </w:rPr>
              <w:t> </w:t>
            </w:r>
            <w:r w:rsidRPr="007E08F7">
              <w:rPr>
                <w:rFonts w:asciiTheme="minorHAnsi" w:hAnsiTheme="minorHAnsi"/>
                <w:color w:val="auto"/>
                <w:sz w:val="24"/>
                <w:szCs w:val="24"/>
              </w:rPr>
              <w:t>dystrybucyjnych</w:t>
            </w:r>
          </w:p>
          <w:p w14:paraId="45FE952C" w14:textId="40D55F5C" w:rsidR="003420E3" w:rsidRPr="007E08F7" w:rsidRDefault="003420E3">
            <w:pPr>
              <w:numPr>
                <w:ilvl w:val="0"/>
                <w:numId w:val="16"/>
              </w:numPr>
              <w:spacing w:before="80" w:after="8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Rosnące zagrożenia cybernetyczne i</w:t>
            </w:r>
            <w:r w:rsidR="00E9460B" w:rsidRPr="007E08F7">
              <w:rPr>
                <w:rFonts w:asciiTheme="minorHAnsi" w:hAnsiTheme="minorHAnsi"/>
                <w:color w:val="auto"/>
                <w:sz w:val="24"/>
                <w:szCs w:val="24"/>
              </w:rPr>
              <w:t> </w:t>
            </w:r>
            <w:r w:rsidRPr="007E08F7">
              <w:rPr>
                <w:rFonts w:asciiTheme="minorHAnsi" w:hAnsiTheme="minorHAnsi"/>
                <w:color w:val="auto"/>
                <w:sz w:val="24"/>
                <w:szCs w:val="24"/>
              </w:rPr>
              <w:t>dezinformacja</w:t>
            </w:r>
          </w:p>
        </w:tc>
      </w:tr>
      <w:tr w:rsidR="003420E3" w:rsidRPr="007E08F7" w14:paraId="70CF9384" w14:textId="77777777" w:rsidTr="00FA2668">
        <w:trPr>
          <w:trHeight w:val="1518"/>
        </w:trPr>
        <w:tc>
          <w:tcPr>
            <w:cnfStyle w:val="001000000000" w:firstRow="0" w:lastRow="0" w:firstColumn="1" w:lastColumn="0" w:oddVBand="0" w:evenVBand="0" w:oddHBand="0" w:evenHBand="0" w:firstRowFirstColumn="0" w:firstRowLastColumn="0" w:lastRowFirstColumn="0" w:lastRowLastColumn="0"/>
            <w:tcW w:w="906" w:type="pct"/>
            <w:gridSpan w:val="2"/>
            <w:tcBorders>
              <w:bottom w:val="single" w:sz="18" w:space="0" w:color="FFFFFF"/>
              <w:right w:val="none" w:sz="0" w:space="0" w:color="auto"/>
            </w:tcBorders>
            <w:shd w:val="clear" w:color="auto" w:fill="auto"/>
          </w:tcPr>
          <w:p w14:paraId="673A0215" w14:textId="6C96C5EF" w:rsidR="003420E3" w:rsidRPr="007E08F7" w:rsidRDefault="003420E3" w:rsidP="00E9460B">
            <w:pPr>
              <w:spacing w:before="720" w:after="80" w:line="288" w:lineRule="auto"/>
              <w:jc w:val="left"/>
              <w:rPr>
                <w:rFonts w:asciiTheme="minorHAnsi" w:eastAsia="Aptos" w:hAnsiTheme="minorHAnsi"/>
                <w:b/>
                <w:bCs/>
                <w:i w:val="0"/>
                <w:iCs w:val="0"/>
                <w:color w:val="215E99" w:themeColor="text2" w:themeTint="BF"/>
                <w:kern w:val="0"/>
                <w:sz w:val="24"/>
                <w:szCs w:val="24"/>
                <w14:ligatures w14:val="none"/>
              </w:rPr>
            </w:pPr>
            <w:r w:rsidRPr="007E08F7">
              <w:rPr>
                <w:rFonts w:asciiTheme="minorHAnsi" w:eastAsiaTheme="minorHAnsi" w:hAnsiTheme="minorHAnsi"/>
                <w:b/>
                <w:bCs/>
                <w:i w:val="0"/>
                <w:iCs w:val="0"/>
                <w:color w:val="215E99" w:themeColor="text2" w:themeTint="BF"/>
                <w:sz w:val="24"/>
                <w:szCs w:val="24"/>
              </w:rPr>
              <w:lastRenderedPageBreak/>
              <w:t xml:space="preserve">Sytuacja </w:t>
            </w:r>
            <w:r w:rsidR="00E9460B" w:rsidRPr="007E08F7">
              <w:rPr>
                <w:rFonts w:asciiTheme="minorHAnsi" w:eastAsiaTheme="minorHAnsi" w:hAnsiTheme="minorHAnsi"/>
                <w:b/>
                <w:bCs/>
                <w:i w:val="0"/>
                <w:iCs w:val="0"/>
                <w:color w:val="215E99" w:themeColor="text2" w:themeTint="BF"/>
                <w:sz w:val="24"/>
                <w:szCs w:val="24"/>
              </w:rPr>
              <w:br/>
            </w:r>
            <w:r w:rsidRPr="007E08F7">
              <w:rPr>
                <w:rFonts w:asciiTheme="minorHAnsi" w:eastAsiaTheme="minorHAnsi" w:hAnsiTheme="minorHAnsi"/>
                <w:b/>
                <w:bCs/>
                <w:i w:val="0"/>
                <w:iCs w:val="0"/>
                <w:color w:val="215E99" w:themeColor="text2" w:themeTint="BF"/>
                <w:sz w:val="24"/>
                <w:szCs w:val="24"/>
              </w:rPr>
              <w:t>społeczna</w:t>
            </w:r>
          </w:p>
        </w:tc>
        <w:tc>
          <w:tcPr>
            <w:tcW w:w="1929" w:type="pct"/>
            <w:gridSpan w:val="2"/>
            <w:tcBorders>
              <w:bottom w:val="single" w:sz="18" w:space="0" w:color="FFFFFF"/>
            </w:tcBorders>
          </w:tcPr>
          <w:p w14:paraId="43D00548" w14:textId="77777777" w:rsidR="003420E3" w:rsidRPr="007E08F7" w:rsidRDefault="003420E3">
            <w:pPr>
              <w:numPr>
                <w:ilvl w:val="0"/>
                <w:numId w:val="16"/>
              </w:numPr>
              <w:spacing w:before="80" w:after="80" w:line="288" w:lineRule="auto"/>
              <w:ind w:left="607" w:hanging="567"/>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Relatywnie korzystna struktura wiekowa mieszkańców na tle kraju</w:t>
            </w:r>
          </w:p>
          <w:p w14:paraId="1E6764D0" w14:textId="77777777" w:rsidR="003420E3" w:rsidRPr="007E08F7" w:rsidRDefault="003420E3">
            <w:pPr>
              <w:numPr>
                <w:ilvl w:val="0"/>
                <w:numId w:val="16"/>
              </w:numPr>
              <w:spacing w:before="80" w:after="80" w:line="288" w:lineRule="auto"/>
              <w:ind w:left="607" w:hanging="567"/>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Dodatnie saldo migracji i atrakcyjność osiedleńcza regionu</w:t>
            </w:r>
          </w:p>
          <w:p w14:paraId="6BA355C3" w14:textId="5CA8D44B" w:rsidR="00436A08" w:rsidRPr="007E08F7" w:rsidRDefault="003420E3">
            <w:pPr>
              <w:numPr>
                <w:ilvl w:val="0"/>
                <w:numId w:val="16"/>
              </w:numPr>
              <w:spacing w:before="80" w:after="80" w:line="288" w:lineRule="auto"/>
              <w:ind w:left="607" w:hanging="567"/>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Wysoki poziom kapitału społecznego, w</w:t>
            </w:r>
            <w:r w:rsidR="00E9460B" w:rsidRPr="007E08F7">
              <w:rPr>
                <w:rFonts w:asciiTheme="minorHAnsi" w:hAnsiTheme="minorHAnsi"/>
                <w:color w:val="auto"/>
                <w:sz w:val="24"/>
                <w:szCs w:val="24"/>
              </w:rPr>
              <w:t> </w:t>
            </w:r>
            <w:r w:rsidRPr="007E08F7">
              <w:rPr>
                <w:rFonts w:asciiTheme="minorHAnsi" w:hAnsiTheme="minorHAnsi"/>
                <w:color w:val="auto"/>
                <w:sz w:val="24"/>
                <w:szCs w:val="24"/>
              </w:rPr>
              <w:t>tym</w:t>
            </w:r>
            <w:r w:rsidR="00E9460B" w:rsidRPr="007E08F7">
              <w:rPr>
                <w:rFonts w:asciiTheme="minorHAnsi" w:hAnsiTheme="minorHAnsi"/>
                <w:color w:val="auto"/>
                <w:sz w:val="24"/>
                <w:szCs w:val="24"/>
              </w:rPr>
              <w:t> </w:t>
            </w:r>
            <w:r w:rsidRPr="007E08F7">
              <w:rPr>
                <w:rFonts w:asciiTheme="minorHAnsi" w:hAnsiTheme="minorHAnsi"/>
                <w:color w:val="auto"/>
                <w:sz w:val="24"/>
                <w:szCs w:val="24"/>
              </w:rPr>
              <w:t>rozwinięty dialog i współpraca wewnątrzregionalna</w:t>
            </w:r>
          </w:p>
          <w:p w14:paraId="20381B0A" w14:textId="7782AFE8" w:rsidR="003420E3" w:rsidRPr="007E08F7" w:rsidRDefault="003420E3">
            <w:pPr>
              <w:numPr>
                <w:ilvl w:val="0"/>
                <w:numId w:val="16"/>
              </w:numPr>
              <w:spacing w:before="80" w:after="80" w:line="288" w:lineRule="auto"/>
              <w:ind w:left="607" w:hanging="567"/>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Wysoki poziom udziału w kulturze</w:t>
            </w:r>
          </w:p>
        </w:tc>
        <w:tc>
          <w:tcPr>
            <w:tcW w:w="2165" w:type="pct"/>
            <w:tcBorders>
              <w:bottom w:val="single" w:sz="18" w:space="0" w:color="FFFFFF"/>
            </w:tcBorders>
          </w:tcPr>
          <w:p w14:paraId="5B6310DB" w14:textId="77777777" w:rsidR="003420E3" w:rsidRPr="007E08F7" w:rsidRDefault="003420E3">
            <w:pPr>
              <w:numPr>
                <w:ilvl w:val="0"/>
                <w:numId w:val="16"/>
              </w:numPr>
              <w:spacing w:before="80" w:after="80" w:line="28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Odwrócenie trendu wzrostu liczby mieszkańców województwa</w:t>
            </w:r>
          </w:p>
          <w:p w14:paraId="028A940E" w14:textId="77777777" w:rsidR="003420E3" w:rsidRPr="007E08F7" w:rsidRDefault="003420E3">
            <w:pPr>
              <w:numPr>
                <w:ilvl w:val="0"/>
                <w:numId w:val="16"/>
              </w:numPr>
              <w:spacing w:before="80" w:after="80" w:line="28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Spadek dzietności i postępujące starzenie się ludności</w:t>
            </w:r>
          </w:p>
          <w:p w14:paraId="195E7F2E" w14:textId="22C45001" w:rsidR="003420E3" w:rsidRPr="007E08F7" w:rsidRDefault="003420E3">
            <w:pPr>
              <w:numPr>
                <w:ilvl w:val="0"/>
                <w:numId w:val="16"/>
              </w:numPr>
              <w:spacing w:before="80" w:after="80" w:line="28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Deficyt kadr w edukacji, opiece społecznej i</w:t>
            </w:r>
            <w:r w:rsidR="00E9460B" w:rsidRPr="007E08F7">
              <w:rPr>
                <w:rFonts w:asciiTheme="minorHAnsi" w:hAnsiTheme="minorHAnsi"/>
                <w:color w:val="auto"/>
                <w:sz w:val="24"/>
                <w:szCs w:val="24"/>
              </w:rPr>
              <w:t> </w:t>
            </w:r>
            <w:r w:rsidRPr="007E08F7">
              <w:rPr>
                <w:rFonts w:asciiTheme="minorHAnsi" w:hAnsiTheme="minorHAnsi"/>
                <w:color w:val="auto"/>
                <w:sz w:val="24"/>
                <w:szCs w:val="24"/>
              </w:rPr>
              <w:t xml:space="preserve">ochronie zdrowia </w:t>
            </w:r>
          </w:p>
          <w:p w14:paraId="5941D3FD" w14:textId="77777777" w:rsidR="003420E3" w:rsidRPr="007E08F7" w:rsidRDefault="003420E3">
            <w:pPr>
              <w:numPr>
                <w:ilvl w:val="0"/>
                <w:numId w:val="16"/>
              </w:numPr>
              <w:spacing w:before="80" w:after="80" w:line="28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Narastający kryzys zdrowia psychicznego</w:t>
            </w:r>
          </w:p>
          <w:p w14:paraId="4D6E7E4E" w14:textId="77777777" w:rsidR="003420E3" w:rsidRPr="007E08F7" w:rsidRDefault="003420E3">
            <w:pPr>
              <w:numPr>
                <w:ilvl w:val="0"/>
                <w:numId w:val="16"/>
              </w:numPr>
              <w:spacing w:before="80" w:after="80" w:line="28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Niewystarczająca dostępność opieki środowiskowej</w:t>
            </w:r>
          </w:p>
          <w:p w14:paraId="22F057AB" w14:textId="77777777" w:rsidR="003420E3" w:rsidRPr="007E08F7" w:rsidRDefault="003420E3">
            <w:pPr>
              <w:numPr>
                <w:ilvl w:val="0"/>
                <w:numId w:val="16"/>
              </w:numPr>
              <w:spacing w:before="80" w:after="80" w:line="28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Wysokie ceny mieszkań i malejący udział zasobów przystępnych cenowo</w:t>
            </w:r>
          </w:p>
          <w:p w14:paraId="05F5C93A" w14:textId="77777777" w:rsidR="00436A08" w:rsidRPr="007E08F7" w:rsidRDefault="003420E3">
            <w:pPr>
              <w:numPr>
                <w:ilvl w:val="0"/>
                <w:numId w:val="16"/>
              </w:numPr>
              <w:spacing w:before="80" w:after="80" w:line="28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Wzrost presji na rynek pracy i system usług publicznych</w:t>
            </w:r>
          </w:p>
          <w:p w14:paraId="3CED25CA" w14:textId="42ED2705" w:rsidR="00E9460B" w:rsidRPr="007E08F7" w:rsidRDefault="003420E3">
            <w:pPr>
              <w:numPr>
                <w:ilvl w:val="0"/>
                <w:numId w:val="16"/>
              </w:numPr>
              <w:spacing w:before="80" w:after="480" w:line="288"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Niska świadomość mieszkańców i</w:t>
            </w:r>
            <w:r w:rsidR="00E9460B" w:rsidRPr="007E08F7">
              <w:rPr>
                <w:rFonts w:asciiTheme="minorHAnsi" w:hAnsiTheme="minorHAnsi"/>
                <w:color w:val="auto"/>
                <w:sz w:val="24"/>
                <w:szCs w:val="24"/>
              </w:rPr>
              <w:t> </w:t>
            </w:r>
            <w:r w:rsidRPr="007E08F7">
              <w:rPr>
                <w:rFonts w:asciiTheme="minorHAnsi" w:hAnsiTheme="minorHAnsi"/>
                <w:color w:val="auto"/>
                <w:sz w:val="24"/>
                <w:szCs w:val="24"/>
              </w:rPr>
              <w:t>przedsiębiorstw dotycząca potencjalnych zagrożeń</w:t>
            </w:r>
          </w:p>
        </w:tc>
      </w:tr>
      <w:tr w:rsidR="003420E3" w:rsidRPr="007E08F7" w14:paraId="7799E97F" w14:textId="77777777" w:rsidTr="00FA2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 w:type="pct"/>
            <w:gridSpan w:val="2"/>
            <w:tcBorders>
              <w:bottom w:val="single" w:sz="18" w:space="0" w:color="FFFFFF"/>
              <w:right w:val="none" w:sz="0" w:space="0" w:color="auto"/>
            </w:tcBorders>
            <w:shd w:val="clear" w:color="auto" w:fill="F2F2F2" w:themeFill="background1" w:themeFillShade="F2"/>
          </w:tcPr>
          <w:p w14:paraId="665B26B0" w14:textId="3E6848D5" w:rsidR="003420E3" w:rsidRPr="007E08F7" w:rsidRDefault="003420E3" w:rsidP="00E9460B">
            <w:pPr>
              <w:spacing w:before="720" w:after="80" w:line="288" w:lineRule="auto"/>
              <w:jc w:val="left"/>
              <w:rPr>
                <w:rFonts w:asciiTheme="minorHAnsi" w:eastAsia="Aptos" w:hAnsiTheme="minorHAnsi"/>
                <w:b/>
                <w:bCs/>
                <w:i w:val="0"/>
                <w:iCs w:val="0"/>
                <w:color w:val="215E99" w:themeColor="text2" w:themeTint="BF"/>
                <w:kern w:val="0"/>
                <w:sz w:val="24"/>
                <w:szCs w:val="24"/>
                <w14:ligatures w14:val="none"/>
              </w:rPr>
            </w:pPr>
            <w:r w:rsidRPr="007E08F7">
              <w:rPr>
                <w:rFonts w:asciiTheme="minorHAnsi" w:eastAsiaTheme="minorHAnsi" w:hAnsiTheme="minorHAnsi"/>
                <w:b/>
                <w:bCs/>
                <w:i w:val="0"/>
                <w:iCs w:val="0"/>
                <w:color w:val="215E99" w:themeColor="text2" w:themeTint="BF"/>
                <w:sz w:val="24"/>
                <w:szCs w:val="24"/>
              </w:rPr>
              <w:lastRenderedPageBreak/>
              <w:t>Sytuacja klimatyczno-środowiskowa</w:t>
            </w:r>
          </w:p>
        </w:tc>
        <w:tc>
          <w:tcPr>
            <w:tcW w:w="1929" w:type="pct"/>
            <w:gridSpan w:val="2"/>
            <w:tcBorders>
              <w:bottom w:val="single" w:sz="18" w:space="0" w:color="FFFFFF"/>
            </w:tcBorders>
            <w:shd w:val="clear" w:color="auto" w:fill="F2F2F2" w:themeFill="background1" w:themeFillShade="F2"/>
          </w:tcPr>
          <w:p w14:paraId="41BEDF48" w14:textId="4167789A"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Relatywnie niska emisja zanieczyszczeń przemysłowych i gazów cieplarnianych na</w:t>
            </w:r>
            <w:r w:rsidR="00E9460B" w:rsidRPr="007E08F7">
              <w:rPr>
                <w:rFonts w:asciiTheme="minorHAnsi" w:hAnsiTheme="minorHAnsi"/>
                <w:color w:val="auto"/>
                <w:sz w:val="24"/>
                <w:szCs w:val="24"/>
              </w:rPr>
              <w:t> </w:t>
            </w:r>
            <w:r w:rsidRPr="007E08F7">
              <w:rPr>
                <w:rFonts w:asciiTheme="minorHAnsi" w:hAnsiTheme="minorHAnsi"/>
                <w:color w:val="auto"/>
                <w:sz w:val="24"/>
                <w:szCs w:val="24"/>
              </w:rPr>
              <w:t>tle</w:t>
            </w:r>
            <w:r w:rsidR="00E9460B" w:rsidRPr="007E08F7">
              <w:rPr>
                <w:rFonts w:asciiTheme="minorHAnsi" w:hAnsiTheme="minorHAnsi"/>
                <w:color w:val="auto"/>
                <w:sz w:val="24"/>
                <w:szCs w:val="24"/>
              </w:rPr>
              <w:t> </w:t>
            </w:r>
            <w:r w:rsidRPr="007E08F7">
              <w:rPr>
                <w:rFonts w:asciiTheme="minorHAnsi" w:hAnsiTheme="minorHAnsi"/>
                <w:color w:val="auto"/>
                <w:sz w:val="24"/>
                <w:szCs w:val="24"/>
              </w:rPr>
              <w:t>kraju</w:t>
            </w:r>
          </w:p>
          <w:p w14:paraId="5288A712" w14:textId="77777777"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Niski pobór wody na potrzeby gospodarki narodowej i ludności</w:t>
            </w:r>
          </w:p>
          <w:p w14:paraId="5F7E362D" w14:textId="4D93DB0E"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Relatywnie niska energochłonność przemysłu i zużycie energii elektrycznej per</w:t>
            </w:r>
            <w:r w:rsidR="00E9460B" w:rsidRPr="007E08F7">
              <w:rPr>
                <w:rFonts w:asciiTheme="minorHAnsi" w:hAnsiTheme="minorHAnsi"/>
                <w:color w:val="auto"/>
                <w:sz w:val="24"/>
                <w:szCs w:val="24"/>
              </w:rPr>
              <w:t> </w:t>
            </w:r>
            <w:r w:rsidRPr="007E08F7">
              <w:rPr>
                <w:rFonts w:asciiTheme="minorHAnsi" w:hAnsiTheme="minorHAnsi"/>
                <w:color w:val="auto"/>
                <w:sz w:val="24"/>
                <w:szCs w:val="24"/>
              </w:rPr>
              <w:t>capita</w:t>
            </w:r>
          </w:p>
          <w:p w14:paraId="07F157FC" w14:textId="1249A10C"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Rozwinięta infrastruktura wodociągowa i</w:t>
            </w:r>
            <w:r w:rsidR="00E9460B" w:rsidRPr="007E08F7">
              <w:rPr>
                <w:rFonts w:asciiTheme="minorHAnsi" w:hAnsiTheme="minorHAnsi"/>
                <w:color w:val="auto"/>
                <w:sz w:val="24"/>
                <w:szCs w:val="24"/>
              </w:rPr>
              <w:t> </w:t>
            </w:r>
            <w:r w:rsidRPr="007E08F7">
              <w:rPr>
                <w:rFonts w:asciiTheme="minorHAnsi" w:hAnsiTheme="minorHAnsi"/>
                <w:color w:val="auto"/>
                <w:sz w:val="24"/>
                <w:szCs w:val="24"/>
              </w:rPr>
              <w:t>kanalizacyjna</w:t>
            </w:r>
          </w:p>
          <w:p w14:paraId="60879EA1" w14:textId="77777777" w:rsidR="00436A08"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Znaczące zasoby eksploatacyjne wód podziemnych </w:t>
            </w:r>
          </w:p>
          <w:p w14:paraId="63B62358" w14:textId="70434A55" w:rsidR="003420E3" w:rsidRPr="007E08F7" w:rsidRDefault="003420E3">
            <w:pPr>
              <w:numPr>
                <w:ilvl w:val="0"/>
                <w:numId w:val="16"/>
              </w:numPr>
              <w:spacing w:before="80" w:after="80" w:line="288" w:lineRule="auto"/>
              <w:ind w:left="607" w:hanging="56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Duża różnorodność ekosystemów oraz rozbudowany system ochrony przyrody</w:t>
            </w:r>
          </w:p>
        </w:tc>
        <w:tc>
          <w:tcPr>
            <w:tcW w:w="2165" w:type="pct"/>
            <w:tcBorders>
              <w:bottom w:val="single" w:sz="18" w:space="0" w:color="FFFFFF"/>
            </w:tcBorders>
            <w:shd w:val="clear" w:color="auto" w:fill="F2F2F2" w:themeFill="background1" w:themeFillShade="F2"/>
          </w:tcPr>
          <w:p w14:paraId="293A15FD" w14:textId="04364069" w:rsidR="003420E3" w:rsidRPr="007E08F7" w:rsidRDefault="003420E3">
            <w:pPr>
              <w:numPr>
                <w:ilvl w:val="0"/>
                <w:numId w:val="16"/>
              </w:numPr>
              <w:spacing w:before="80" w:after="80" w:line="288" w:lineRule="auto"/>
              <w:ind w:left="466"/>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Presja inwestycji energetycznych, portowych i</w:t>
            </w:r>
            <w:r w:rsidR="00E9460B" w:rsidRPr="007E08F7">
              <w:rPr>
                <w:rFonts w:asciiTheme="minorHAnsi" w:hAnsiTheme="minorHAnsi"/>
                <w:color w:val="auto"/>
                <w:sz w:val="24"/>
                <w:szCs w:val="24"/>
              </w:rPr>
              <w:t> </w:t>
            </w:r>
            <w:r w:rsidRPr="007E08F7">
              <w:rPr>
                <w:rFonts w:asciiTheme="minorHAnsi" w:hAnsiTheme="minorHAnsi"/>
                <w:color w:val="auto"/>
                <w:sz w:val="24"/>
                <w:szCs w:val="24"/>
              </w:rPr>
              <w:t>turystycznych na obszary wrażliwe i na lokalne społeczności</w:t>
            </w:r>
          </w:p>
          <w:p w14:paraId="346A474E" w14:textId="3B7F4CB5" w:rsidR="003420E3" w:rsidRPr="007E08F7" w:rsidRDefault="003420E3">
            <w:pPr>
              <w:numPr>
                <w:ilvl w:val="0"/>
                <w:numId w:val="16"/>
              </w:numPr>
              <w:spacing w:before="80" w:after="80" w:line="288" w:lineRule="auto"/>
              <w:ind w:left="466"/>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Zbyt wysoka emisja z indywidualnych źródeł ciepła i</w:t>
            </w:r>
            <w:r w:rsidR="00E9460B" w:rsidRPr="007E08F7">
              <w:rPr>
                <w:rFonts w:asciiTheme="minorHAnsi" w:hAnsiTheme="minorHAnsi"/>
                <w:color w:val="auto"/>
                <w:sz w:val="24"/>
                <w:szCs w:val="24"/>
              </w:rPr>
              <w:t> </w:t>
            </w:r>
            <w:r w:rsidRPr="007E08F7">
              <w:rPr>
                <w:rFonts w:asciiTheme="minorHAnsi" w:hAnsiTheme="minorHAnsi"/>
                <w:color w:val="auto"/>
                <w:sz w:val="24"/>
                <w:szCs w:val="24"/>
              </w:rPr>
              <w:t>transportu</w:t>
            </w:r>
          </w:p>
          <w:p w14:paraId="6C3E3E3F" w14:textId="77777777" w:rsidR="003420E3" w:rsidRPr="007E08F7" w:rsidRDefault="003420E3">
            <w:pPr>
              <w:numPr>
                <w:ilvl w:val="0"/>
                <w:numId w:val="16"/>
              </w:numPr>
              <w:spacing w:before="80" w:after="80" w:line="288" w:lineRule="auto"/>
              <w:ind w:left="466"/>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Nasilające się ryzyka związane z ekstremalnymi zjawiskami pogodowymi, powodziami, suszą, falami upałów i presją na zasoby wodne</w:t>
            </w:r>
          </w:p>
          <w:p w14:paraId="2AE6D898" w14:textId="61F8644A" w:rsidR="003420E3" w:rsidRPr="007E08F7" w:rsidRDefault="003420E3">
            <w:pPr>
              <w:numPr>
                <w:ilvl w:val="0"/>
                <w:numId w:val="16"/>
              </w:numPr>
              <w:spacing w:before="80" w:after="80" w:line="288" w:lineRule="auto"/>
              <w:ind w:left="466"/>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Sezonowa, narastająca presja turystyczna na</w:t>
            </w:r>
            <w:r w:rsidR="00E9460B" w:rsidRPr="007E08F7">
              <w:rPr>
                <w:rFonts w:asciiTheme="minorHAnsi" w:hAnsiTheme="minorHAnsi"/>
                <w:color w:val="auto"/>
                <w:sz w:val="24"/>
                <w:szCs w:val="24"/>
              </w:rPr>
              <w:t> </w:t>
            </w:r>
            <w:r w:rsidRPr="007E08F7">
              <w:rPr>
                <w:rFonts w:asciiTheme="minorHAnsi" w:hAnsiTheme="minorHAnsi"/>
                <w:color w:val="auto"/>
                <w:sz w:val="24"/>
                <w:szCs w:val="24"/>
              </w:rPr>
              <w:t>zasoby wodne, transport, gospodarkę odpadami i cenne siedliska</w:t>
            </w:r>
          </w:p>
          <w:p w14:paraId="31DEB66A" w14:textId="77777777" w:rsidR="00436A08" w:rsidRPr="007E08F7" w:rsidRDefault="003420E3">
            <w:pPr>
              <w:numPr>
                <w:ilvl w:val="0"/>
                <w:numId w:val="16"/>
              </w:numPr>
              <w:spacing w:before="80" w:after="80" w:line="288" w:lineRule="auto"/>
              <w:ind w:left="466"/>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Rosnąca ilość odpadów komunalnych oraz nadal wysoki udział odpadów zmieszanych</w:t>
            </w:r>
          </w:p>
          <w:p w14:paraId="7610A514" w14:textId="6DF5B51B" w:rsidR="003420E3" w:rsidRPr="007E08F7" w:rsidRDefault="003420E3">
            <w:pPr>
              <w:numPr>
                <w:ilvl w:val="0"/>
                <w:numId w:val="16"/>
              </w:numPr>
              <w:spacing w:before="80" w:after="1080" w:line="288" w:lineRule="auto"/>
              <w:ind w:left="466" w:hanging="357"/>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Utrzymująca się lokalna presja niskiej emisji i</w:t>
            </w:r>
            <w:r w:rsidR="00E9460B" w:rsidRPr="007E08F7">
              <w:rPr>
                <w:rFonts w:asciiTheme="minorHAnsi" w:hAnsiTheme="minorHAnsi"/>
                <w:color w:val="auto"/>
                <w:sz w:val="24"/>
                <w:szCs w:val="24"/>
              </w:rPr>
              <w:t> </w:t>
            </w:r>
            <w:proofErr w:type="spellStart"/>
            <w:r w:rsidRPr="007E08F7">
              <w:rPr>
                <w:rFonts w:asciiTheme="minorHAnsi" w:hAnsiTheme="minorHAnsi"/>
                <w:color w:val="auto"/>
                <w:sz w:val="24"/>
                <w:szCs w:val="24"/>
              </w:rPr>
              <w:t>benzo</w:t>
            </w:r>
            <w:proofErr w:type="spellEnd"/>
            <w:r w:rsidRPr="007E08F7">
              <w:rPr>
                <w:rFonts w:asciiTheme="minorHAnsi" w:hAnsiTheme="minorHAnsi"/>
                <w:color w:val="auto"/>
                <w:sz w:val="24"/>
                <w:szCs w:val="24"/>
              </w:rPr>
              <w:t>(a)</w:t>
            </w:r>
            <w:proofErr w:type="spellStart"/>
            <w:r w:rsidRPr="007E08F7">
              <w:rPr>
                <w:rFonts w:asciiTheme="minorHAnsi" w:hAnsiTheme="minorHAnsi"/>
                <w:color w:val="auto"/>
                <w:sz w:val="24"/>
                <w:szCs w:val="24"/>
              </w:rPr>
              <w:t>pirenu</w:t>
            </w:r>
            <w:proofErr w:type="spellEnd"/>
            <w:r w:rsidRPr="007E08F7">
              <w:rPr>
                <w:rFonts w:asciiTheme="minorHAnsi" w:hAnsiTheme="minorHAnsi"/>
                <w:color w:val="auto"/>
                <w:sz w:val="24"/>
                <w:szCs w:val="24"/>
              </w:rPr>
              <w:t xml:space="preserve"> w okresie grzewczym</w:t>
            </w:r>
          </w:p>
        </w:tc>
      </w:tr>
      <w:tr w:rsidR="003420E3" w:rsidRPr="007E08F7" w14:paraId="02C7EEF2" w14:textId="77777777" w:rsidTr="00FA2668">
        <w:trPr>
          <w:trHeight w:val="8038"/>
        </w:trPr>
        <w:tc>
          <w:tcPr>
            <w:cnfStyle w:val="001000000000" w:firstRow="0" w:lastRow="0" w:firstColumn="1" w:lastColumn="0" w:oddVBand="0" w:evenVBand="0" w:oddHBand="0" w:evenHBand="0" w:firstRowFirstColumn="0" w:firstRowLastColumn="0" w:lastRowFirstColumn="0" w:lastRowLastColumn="0"/>
            <w:tcW w:w="804" w:type="pct"/>
            <w:tcBorders>
              <w:right w:val="none" w:sz="0" w:space="0" w:color="auto"/>
            </w:tcBorders>
            <w:shd w:val="clear" w:color="auto" w:fill="auto"/>
          </w:tcPr>
          <w:p w14:paraId="669FA971" w14:textId="1B5B84AD" w:rsidR="003420E3" w:rsidRPr="007E08F7" w:rsidRDefault="003420E3" w:rsidP="00E9460B">
            <w:pPr>
              <w:spacing w:before="720" w:after="80" w:line="288" w:lineRule="auto"/>
              <w:jc w:val="left"/>
              <w:rPr>
                <w:rFonts w:asciiTheme="minorHAnsi" w:eastAsia="Aptos" w:hAnsiTheme="minorHAnsi"/>
                <w:b/>
                <w:bCs/>
                <w:i w:val="0"/>
                <w:iCs w:val="0"/>
                <w:color w:val="auto"/>
                <w:kern w:val="0"/>
                <w:sz w:val="24"/>
                <w:szCs w:val="24"/>
                <w14:ligatures w14:val="none"/>
              </w:rPr>
            </w:pPr>
            <w:r w:rsidRPr="007E08F7">
              <w:rPr>
                <w:rFonts w:asciiTheme="minorHAnsi" w:eastAsiaTheme="minorHAnsi" w:hAnsiTheme="minorHAnsi"/>
                <w:b/>
                <w:bCs/>
                <w:i w:val="0"/>
                <w:iCs w:val="0"/>
                <w:color w:val="215E99" w:themeColor="text2" w:themeTint="BF"/>
                <w:sz w:val="24"/>
                <w:szCs w:val="24"/>
              </w:rPr>
              <w:lastRenderedPageBreak/>
              <w:t>Sytuacja przestrzenna</w:t>
            </w:r>
          </w:p>
        </w:tc>
        <w:tc>
          <w:tcPr>
            <w:tcW w:w="1930" w:type="pct"/>
            <w:gridSpan w:val="2"/>
          </w:tcPr>
          <w:p w14:paraId="20FDA20A" w14:textId="77777777" w:rsidR="003420E3" w:rsidRPr="007E08F7" w:rsidRDefault="003420E3">
            <w:pPr>
              <w:numPr>
                <w:ilvl w:val="0"/>
                <w:numId w:val="16"/>
              </w:numPr>
              <w:spacing w:before="80" w:after="80" w:line="288" w:lineRule="auto"/>
              <w:ind w:left="466" w:hanging="425"/>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Policentryczny układ regionu</w:t>
            </w:r>
          </w:p>
          <w:p w14:paraId="3D3E0E28" w14:textId="78745ABF" w:rsidR="003420E3" w:rsidRPr="007E08F7" w:rsidRDefault="003420E3">
            <w:pPr>
              <w:numPr>
                <w:ilvl w:val="0"/>
                <w:numId w:val="16"/>
              </w:numPr>
              <w:spacing w:before="80" w:after="80" w:line="288" w:lineRule="auto"/>
              <w:ind w:left="466" w:hanging="425"/>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Wysoka koncentracja funkcji metropolitalnych</w:t>
            </w:r>
            <w:r w:rsidR="00FA2668" w:rsidRPr="007E08F7">
              <w:rPr>
                <w:rFonts w:asciiTheme="minorHAnsi" w:hAnsiTheme="minorHAnsi"/>
                <w:color w:val="auto"/>
                <w:sz w:val="24"/>
                <w:szCs w:val="24"/>
              </w:rPr>
              <w:t> </w:t>
            </w:r>
            <w:r w:rsidRPr="007E08F7">
              <w:rPr>
                <w:rFonts w:asciiTheme="minorHAnsi" w:hAnsiTheme="minorHAnsi"/>
                <w:color w:val="auto"/>
                <w:sz w:val="24"/>
                <w:szCs w:val="24"/>
              </w:rPr>
              <w:t>wzmacniająca konkurencyjność regionu w skali krajowej i</w:t>
            </w:r>
            <w:r w:rsidR="00FA2668" w:rsidRPr="007E08F7">
              <w:rPr>
                <w:rFonts w:asciiTheme="minorHAnsi" w:hAnsiTheme="minorHAnsi"/>
                <w:color w:val="auto"/>
                <w:sz w:val="24"/>
                <w:szCs w:val="24"/>
              </w:rPr>
              <w:t> </w:t>
            </w:r>
            <w:r w:rsidRPr="007E08F7">
              <w:rPr>
                <w:rFonts w:asciiTheme="minorHAnsi" w:hAnsiTheme="minorHAnsi"/>
                <w:color w:val="auto"/>
                <w:sz w:val="24"/>
                <w:szCs w:val="24"/>
              </w:rPr>
              <w:t>międzynarodowej</w:t>
            </w:r>
          </w:p>
          <w:p w14:paraId="3989E369" w14:textId="22CA5304" w:rsidR="00436A08" w:rsidRPr="007E08F7" w:rsidRDefault="003420E3">
            <w:pPr>
              <w:numPr>
                <w:ilvl w:val="0"/>
                <w:numId w:val="16"/>
              </w:numPr>
              <w:spacing w:before="80" w:after="80" w:line="288" w:lineRule="auto"/>
              <w:ind w:left="466" w:hanging="425"/>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Rozwijający się publiczny transport </w:t>
            </w:r>
            <w:r w:rsidR="00FA2668" w:rsidRPr="007E08F7">
              <w:rPr>
                <w:rFonts w:asciiTheme="minorHAnsi" w:hAnsiTheme="minorHAnsi"/>
                <w:color w:val="auto"/>
                <w:sz w:val="24"/>
                <w:szCs w:val="24"/>
              </w:rPr>
              <w:br/>
            </w:r>
            <w:r w:rsidRPr="007E08F7">
              <w:rPr>
                <w:rFonts w:asciiTheme="minorHAnsi" w:hAnsiTheme="minorHAnsi"/>
                <w:color w:val="auto"/>
                <w:sz w:val="24"/>
                <w:szCs w:val="24"/>
              </w:rPr>
              <w:t>zbiorowy</w:t>
            </w:r>
          </w:p>
          <w:p w14:paraId="4C32B5A5" w14:textId="46DF7D38" w:rsidR="003420E3" w:rsidRPr="007E08F7" w:rsidRDefault="003420E3">
            <w:pPr>
              <w:numPr>
                <w:ilvl w:val="0"/>
                <w:numId w:val="16"/>
              </w:numPr>
              <w:spacing w:before="80" w:after="80" w:line="288" w:lineRule="auto"/>
              <w:ind w:left="466" w:hanging="425"/>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Bogate doświadczenie w zakresie </w:t>
            </w:r>
            <w:r w:rsidR="00FA2668" w:rsidRPr="007E08F7">
              <w:rPr>
                <w:rFonts w:asciiTheme="minorHAnsi" w:hAnsiTheme="minorHAnsi"/>
                <w:color w:val="auto"/>
                <w:sz w:val="24"/>
                <w:szCs w:val="24"/>
              </w:rPr>
              <w:br/>
            </w:r>
            <w:r w:rsidRPr="007E08F7">
              <w:rPr>
                <w:rFonts w:asciiTheme="minorHAnsi" w:hAnsiTheme="minorHAnsi"/>
                <w:color w:val="auto"/>
                <w:sz w:val="24"/>
                <w:szCs w:val="24"/>
              </w:rPr>
              <w:t>rewitalizacji</w:t>
            </w:r>
          </w:p>
        </w:tc>
        <w:tc>
          <w:tcPr>
            <w:tcW w:w="2266" w:type="pct"/>
            <w:gridSpan w:val="2"/>
          </w:tcPr>
          <w:p w14:paraId="4EE1BFFC" w14:textId="0E977D92" w:rsidR="003420E3"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Polaryzacja rozwoju gospodarczego i duże zróżnicowanie udziału podregionów w PKB, koncentracja rozwoju w</w:t>
            </w:r>
            <w:r w:rsidR="00FA2668" w:rsidRPr="007E08F7">
              <w:rPr>
                <w:rFonts w:asciiTheme="minorHAnsi" w:hAnsiTheme="minorHAnsi"/>
                <w:color w:val="auto"/>
                <w:sz w:val="24"/>
                <w:szCs w:val="24"/>
              </w:rPr>
              <w:t> </w:t>
            </w:r>
            <w:r w:rsidRPr="007E08F7">
              <w:rPr>
                <w:rFonts w:asciiTheme="minorHAnsi" w:hAnsiTheme="minorHAnsi"/>
                <w:color w:val="auto"/>
                <w:sz w:val="24"/>
                <w:szCs w:val="24"/>
              </w:rPr>
              <w:t>obszarze metropolitalnym</w:t>
            </w:r>
          </w:p>
          <w:p w14:paraId="458F0DB9" w14:textId="4FEED84F" w:rsidR="003420E3"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Polaryzacja społeczna regionu – nierówny dostęp do</w:t>
            </w:r>
            <w:r w:rsidR="00FA2668" w:rsidRPr="007E08F7">
              <w:rPr>
                <w:rFonts w:asciiTheme="minorHAnsi" w:hAnsiTheme="minorHAnsi"/>
                <w:color w:val="auto"/>
                <w:sz w:val="24"/>
                <w:szCs w:val="24"/>
              </w:rPr>
              <w:t> </w:t>
            </w:r>
            <w:r w:rsidRPr="007E08F7">
              <w:rPr>
                <w:rFonts w:asciiTheme="minorHAnsi" w:hAnsiTheme="minorHAnsi"/>
                <w:color w:val="auto"/>
                <w:sz w:val="24"/>
                <w:szCs w:val="24"/>
              </w:rPr>
              <w:t>usług publicznych (transportu, edukacji, kultury, ochrony zdrowia i pomocy społecznej)</w:t>
            </w:r>
          </w:p>
          <w:p w14:paraId="1C0E509F" w14:textId="5C7B5057" w:rsidR="003420E3"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Koncentracja presji urbanizacyjnej i</w:t>
            </w:r>
            <w:r w:rsidR="00E9460B" w:rsidRPr="007E08F7">
              <w:rPr>
                <w:rFonts w:asciiTheme="minorHAnsi" w:hAnsiTheme="minorHAnsi"/>
                <w:color w:val="auto"/>
                <w:sz w:val="24"/>
                <w:szCs w:val="24"/>
              </w:rPr>
              <w:t> </w:t>
            </w:r>
            <w:r w:rsidRPr="007E08F7">
              <w:rPr>
                <w:rFonts w:asciiTheme="minorHAnsi" w:hAnsiTheme="minorHAnsi"/>
                <w:color w:val="auto"/>
                <w:sz w:val="24"/>
                <w:szCs w:val="24"/>
              </w:rPr>
              <w:t>inwestycyjnej w</w:t>
            </w:r>
            <w:r w:rsidR="00FA2668" w:rsidRPr="007E08F7">
              <w:rPr>
                <w:rFonts w:asciiTheme="minorHAnsi" w:hAnsiTheme="minorHAnsi"/>
                <w:color w:val="auto"/>
                <w:sz w:val="24"/>
                <w:szCs w:val="24"/>
              </w:rPr>
              <w:t> </w:t>
            </w:r>
            <w:r w:rsidRPr="007E08F7">
              <w:rPr>
                <w:rFonts w:asciiTheme="minorHAnsi" w:hAnsiTheme="minorHAnsi"/>
                <w:color w:val="auto"/>
                <w:sz w:val="24"/>
                <w:szCs w:val="24"/>
              </w:rPr>
              <w:t>strefach podmiejskich oraz</w:t>
            </w:r>
            <w:r w:rsidR="00E9460B" w:rsidRPr="007E08F7">
              <w:rPr>
                <w:rFonts w:asciiTheme="minorHAnsi" w:hAnsiTheme="minorHAnsi"/>
                <w:color w:val="auto"/>
                <w:sz w:val="24"/>
                <w:szCs w:val="24"/>
              </w:rPr>
              <w:t> </w:t>
            </w:r>
            <w:r w:rsidRPr="007E08F7">
              <w:rPr>
                <w:rFonts w:asciiTheme="minorHAnsi" w:hAnsiTheme="minorHAnsi"/>
                <w:color w:val="auto"/>
                <w:sz w:val="24"/>
                <w:szCs w:val="24"/>
              </w:rPr>
              <w:t>nadmorskich</w:t>
            </w:r>
          </w:p>
          <w:p w14:paraId="6C379224" w14:textId="77777777" w:rsidR="003420E3"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Odpływ młodych osób z obszarów </w:t>
            </w:r>
            <w:proofErr w:type="spellStart"/>
            <w:r w:rsidRPr="007E08F7">
              <w:rPr>
                <w:rFonts w:asciiTheme="minorHAnsi" w:hAnsiTheme="minorHAnsi"/>
                <w:color w:val="auto"/>
                <w:sz w:val="24"/>
                <w:szCs w:val="24"/>
              </w:rPr>
              <w:t>pozametropolitalnych</w:t>
            </w:r>
            <w:proofErr w:type="spellEnd"/>
          </w:p>
          <w:p w14:paraId="2AEE59A1" w14:textId="21E94737" w:rsidR="003420E3"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 xml:space="preserve">Niedostateczna integracja </w:t>
            </w:r>
            <w:r w:rsidR="00D77400" w:rsidRPr="007E08F7">
              <w:rPr>
                <w:rFonts w:asciiTheme="minorHAnsi" w:hAnsiTheme="minorHAnsi"/>
                <w:color w:val="auto"/>
                <w:sz w:val="24"/>
                <w:szCs w:val="24"/>
              </w:rPr>
              <w:t xml:space="preserve">publicznego </w:t>
            </w:r>
            <w:r w:rsidRPr="007E08F7">
              <w:rPr>
                <w:rFonts w:asciiTheme="minorHAnsi" w:hAnsiTheme="minorHAnsi"/>
                <w:color w:val="auto"/>
                <w:sz w:val="24"/>
                <w:szCs w:val="24"/>
              </w:rPr>
              <w:t>transportu</w:t>
            </w:r>
            <w:r w:rsidR="00D77400" w:rsidRPr="007E08F7">
              <w:rPr>
                <w:rFonts w:asciiTheme="minorHAnsi" w:hAnsiTheme="minorHAnsi"/>
                <w:color w:val="auto"/>
                <w:sz w:val="24"/>
                <w:szCs w:val="24"/>
              </w:rPr>
              <w:t xml:space="preserve"> zbiorowego</w:t>
            </w:r>
            <w:r w:rsidRPr="007E08F7">
              <w:rPr>
                <w:rFonts w:asciiTheme="minorHAnsi" w:hAnsiTheme="minorHAnsi"/>
                <w:color w:val="auto"/>
                <w:sz w:val="24"/>
                <w:szCs w:val="24"/>
              </w:rPr>
              <w:t>, zwłaszcza poza obszarem</w:t>
            </w:r>
            <w:r w:rsidR="00FA2668" w:rsidRPr="007E08F7">
              <w:rPr>
                <w:rFonts w:asciiTheme="minorHAnsi" w:hAnsiTheme="minorHAnsi"/>
                <w:color w:val="auto"/>
                <w:sz w:val="24"/>
                <w:szCs w:val="24"/>
              </w:rPr>
              <w:t xml:space="preserve"> </w:t>
            </w:r>
            <w:r w:rsidRPr="007E08F7">
              <w:rPr>
                <w:rFonts w:asciiTheme="minorHAnsi" w:hAnsiTheme="minorHAnsi"/>
                <w:color w:val="auto"/>
                <w:sz w:val="24"/>
                <w:szCs w:val="24"/>
              </w:rPr>
              <w:t>metropolitalnym</w:t>
            </w:r>
          </w:p>
          <w:p w14:paraId="14F1345B" w14:textId="3769F54C" w:rsidR="003420E3"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Wysokie ryzyko wykluczenia komunikacyjnego oraz</w:t>
            </w:r>
            <w:r w:rsidRPr="007E08F7">
              <w:rPr>
                <w:rFonts w:asciiTheme="minorHAnsi" w:hAnsiTheme="minorHAnsi"/>
                <w:bCs/>
                <w:color w:val="auto"/>
                <w:sz w:val="24"/>
                <w:szCs w:val="24"/>
              </w:rPr>
              <w:t xml:space="preserve"> wystąpienia zjawiska ubóstwa transportowego</w:t>
            </w:r>
            <w:r w:rsidRPr="007E08F7">
              <w:rPr>
                <w:rFonts w:asciiTheme="minorHAnsi" w:hAnsiTheme="minorHAnsi"/>
                <w:color w:val="auto"/>
                <w:sz w:val="24"/>
                <w:szCs w:val="24"/>
              </w:rPr>
              <w:t xml:space="preserve"> na</w:t>
            </w:r>
            <w:r w:rsidR="00FA2668" w:rsidRPr="007E08F7">
              <w:rPr>
                <w:rFonts w:asciiTheme="minorHAnsi" w:hAnsiTheme="minorHAnsi"/>
                <w:color w:val="auto"/>
                <w:sz w:val="24"/>
                <w:szCs w:val="24"/>
              </w:rPr>
              <w:t> </w:t>
            </w:r>
            <w:r w:rsidRPr="007E08F7">
              <w:rPr>
                <w:rFonts w:asciiTheme="minorHAnsi" w:hAnsiTheme="minorHAnsi"/>
                <w:color w:val="auto"/>
                <w:sz w:val="24"/>
                <w:szCs w:val="24"/>
              </w:rPr>
              <w:t>południu i zachodzie regionu oraz w części obszarów nadmorskich</w:t>
            </w:r>
          </w:p>
          <w:p w14:paraId="5FA0ACEC" w14:textId="228C28EA" w:rsidR="00436A08"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Ograniczona dostępność miejsc schronienia i</w:t>
            </w:r>
            <w:r w:rsidR="00FA2668" w:rsidRPr="007E08F7">
              <w:rPr>
                <w:rFonts w:asciiTheme="minorHAnsi" w:hAnsiTheme="minorHAnsi"/>
                <w:color w:val="auto"/>
                <w:sz w:val="24"/>
                <w:szCs w:val="24"/>
              </w:rPr>
              <w:t> </w:t>
            </w:r>
            <w:r w:rsidRPr="007E08F7">
              <w:rPr>
                <w:rFonts w:asciiTheme="minorHAnsi" w:hAnsiTheme="minorHAnsi"/>
                <w:color w:val="auto"/>
                <w:sz w:val="24"/>
                <w:szCs w:val="24"/>
              </w:rPr>
              <w:t>potrzeba modernizacji infrastruktury ochronnej</w:t>
            </w:r>
          </w:p>
          <w:p w14:paraId="7956675A" w14:textId="24F4D51E" w:rsidR="003420E3" w:rsidRPr="007E08F7" w:rsidRDefault="003420E3">
            <w:pPr>
              <w:numPr>
                <w:ilvl w:val="0"/>
                <w:numId w:val="16"/>
              </w:numPr>
              <w:spacing w:before="80" w:after="80" w:line="288" w:lineRule="auto"/>
              <w:ind w:left="183" w:hanging="284"/>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7E08F7">
              <w:rPr>
                <w:rFonts w:asciiTheme="minorHAnsi" w:hAnsiTheme="minorHAnsi"/>
                <w:color w:val="auto"/>
                <w:sz w:val="24"/>
                <w:szCs w:val="24"/>
              </w:rPr>
              <w:t>Podatność infrastruktury krytycznej, w tym energetycznej, wodno-kanalizacyjnej i transportowej na zakłócenia</w:t>
            </w:r>
          </w:p>
        </w:tc>
      </w:tr>
    </w:tbl>
    <w:p w14:paraId="4B266825" w14:textId="77777777" w:rsidR="00F40592" w:rsidRPr="007E08F7" w:rsidRDefault="00F40592" w:rsidP="00F40592">
      <w:pPr>
        <w:spacing w:after="120"/>
        <w:rPr>
          <w:rFonts w:eastAsia="Aptos"/>
          <w:kern w:val="0"/>
          <w:sz w:val="22"/>
          <w:szCs w:val="22"/>
          <w14:ligatures w14:val="none"/>
        </w:rPr>
        <w:sectPr w:rsidR="00F40592" w:rsidRPr="007E08F7" w:rsidSect="00B3693D">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pPr>
    </w:p>
    <w:p w14:paraId="34CA3C56" w14:textId="0AC3F162" w:rsidR="00D61682" w:rsidRPr="007E08F7" w:rsidRDefault="00ED2A62" w:rsidP="00B64E0B">
      <w:pPr>
        <w:pStyle w:val="Nagwek1"/>
      </w:pPr>
      <w:bookmarkStart w:id="31" w:name="_Toc239772058"/>
      <w:r w:rsidRPr="007E08F7">
        <w:lastRenderedPageBreak/>
        <w:t>Strategiczne wyzwania rozwojowe województwa pomorskiego</w:t>
      </w:r>
      <w:bookmarkEnd w:id="31"/>
    </w:p>
    <w:p w14:paraId="1AEC27BF" w14:textId="08569A32" w:rsidR="003420E3" w:rsidRPr="007E08F7" w:rsidRDefault="003420E3">
      <w:pPr>
        <w:numPr>
          <w:ilvl w:val="0"/>
          <w:numId w:val="17"/>
        </w:numPr>
        <w:spacing w:before="120" w:after="120" w:line="288" w:lineRule="auto"/>
        <w:ind w:left="284" w:hanging="284"/>
      </w:pPr>
      <w:r w:rsidRPr="007E08F7">
        <w:rPr>
          <w:b/>
          <w:bCs/>
        </w:rPr>
        <w:t xml:space="preserve">Transformacja gospodarcza i energetyczna </w:t>
      </w:r>
      <w:r w:rsidRPr="007E08F7">
        <w:t>–</w:t>
      </w:r>
      <w:r w:rsidRPr="007E08F7">
        <w:rPr>
          <w:b/>
          <w:bCs/>
        </w:rPr>
        <w:t xml:space="preserve"> </w:t>
      </w:r>
      <w:r w:rsidRPr="007E08F7">
        <w:t>budowa gospodarki bardziej innowacyjnej, odpornej, produktywnej, efektywnej energetycznie, przechodzącej na</w:t>
      </w:r>
      <w:r w:rsidR="00FA2668" w:rsidRPr="007E08F7">
        <w:t> </w:t>
      </w:r>
      <w:r w:rsidRPr="007E08F7">
        <w:t>zero i niskoemisyjne źródła energii oraz zdolnej do wykorzystania transformacji jako impulsu rozwojowego do tworzenia wartości dodanej. Wykorzystanie przewag regionu związanych z nadmorskim położeniem, gospodarką morską, portami, logistyką oraz specyficznymi zasobami. Umiejętne wykorzystanie potencjału powstającej elektrowni jądrowej i morskiej energetyki wiatrowej dla wzmocnienia produktywności gospodarki i rozbudowy jej bazy przemysłowej, rozwój specjalizacji regionu oraz budowa nowoczesnych łańcuchów dostaw opartych na lokalnym potencjale gospodarczym.</w:t>
      </w:r>
    </w:p>
    <w:p w14:paraId="70BD7910" w14:textId="77777777" w:rsidR="003420E3" w:rsidRPr="007E08F7" w:rsidRDefault="003420E3">
      <w:pPr>
        <w:numPr>
          <w:ilvl w:val="0"/>
          <w:numId w:val="17"/>
        </w:numPr>
        <w:spacing w:before="120" w:after="120" w:line="288" w:lineRule="auto"/>
        <w:ind w:left="284" w:hanging="284"/>
      </w:pPr>
      <w:r w:rsidRPr="007E08F7">
        <w:rPr>
          <w:b/>
          <w:bCs/>
        </w:rPr>
        <w:t>Kompetencje przyszłości</w:t>
      </w:r>
      <w:r w:rsidRPr="007E08F7">
        <w:t xml:space="preserve"> – lepsze dopasowanie edukacji, w tym kształcenia zawodowego i ustawicznego oraz szkolnictwa wyższego do zachodzących zmian gospodarczych, technologicznych, w tym związanych ze sztuczną inteligencją, energetycznych, demograficznych i organizacyjnych. Wzrost kompetencji mieszkańców, które warunkują zdolność do funkcjonowania w dynamicznie zmieniającej się rzeczywistości.</w:t>
      </w:r>
    </w:p>
    <w:p w14:paraId="2FDA613C" w14:textId="77777777" w:rsidR="003420E3" w:rsidRPr="007E08F7" w:rsidRDefault="003420E3">
      <w:pPr>
        <w:numPr>
          <w:ilvl w:val="0"/>
          <w:numId w:val="17"/>
        </w:numPr>
        <w:spacing w:before="120" w:after="120" w:line="288" w:lineRule="auto"/>
        <w:ind w:left="284" w:hanging="284"/>
      </w:pPr>
      <w:r w:rsidRPr="007E08F7">
        <w:rPr>
          <w:b/>
          <w:bCs/>
        </w:rPr>
        <w:t>Odporność Pomorza</w:t>
      </w:r>
      <w:r w:rsidRPr="007E08F7">
        <w:t xml:space="preserve"> – przekształcenie Pomorza w modelowy region o wysokim stopniu odporności cywilnej, cyfrowej, gospodarczej i środowiskowej, w tym zapewnienie odporności infrastruktury krytycznej,</w:t>
      </w:r>
      <w:r w:rsidRPr="007E08F7">
        <w:rPr>
          <w:b/>
          <w:bCs/>
        </w:rPr>
        <w:t xml:space="preserve"> </w:t>
      </w:r>
      <w:r w:rsidRPr="007E08F7">
        <w:t>budowa kompetencji adaptacyjnych mieszkańców, elastyczności pomorskiego biznesu oraz sprawności instytucji publicznych, opierających rozwój na fundamencie wzajemnego zaufania wpływających na zdolność do współdziałania w warunkach kryzysowych.</w:t>
      </w:r>
    </w:p>
    <w:p w14:paraId="67D10F8A" w14:textId="56FEFF84" w:rsidR="003420E3" w:rsidRPr="007E08F7" w:rsidRDefault="003420E3">
      <w:pPr>
        <w:numPr>
          <w:ilvl w:val="0"/>
          <w:numId w:val="17"/>
        </w:numPr>
        <w:spacing w:before="120" w:after="120" w:line="288" w:lineRule="auto"/>
        <w:ind w:left="284" w:hanging="284"/>
      </w:pPr>
      <w:r w:rsidRPr="007E08F7">
        <w:rPr>
          <w:b/>
          <w:bCs/>
        </w:rPr>
        <w:t xml:space="preserve">Bezpieczeństwo klimatyczne i środowiskowe </w:t>
      </w:r>
      <w:r w:rsidRPr="007E08F7">
        <w:t>– zmniejszenie presji na środowisko, utrzymanie dobrej jakości powietrza i wzmacnianie poziomu adaptacji regionu do</w:t>
      </w:r>
      <w:r w:rsidR="00886C1F" w:rsidRPr="007E08F7">
        <w:t> </w:t>
      </w:r>
      <w:r w:rsidRPr="007E08F7">
        <w:t>zmian klimatu, przede wszystkim poprzez łagodzenie wzrastającego zagrożenia powodziowego od strony rzek i morza, rozwój infrastruktury ochrony środowiska, ograniczanie skutków miejskich wysp ciepła oraz suszy, ochronę zasobów przyrodniczych i różnorodności biologicznej wraz z edukacją przyrodniczą, w celu optymalnego wykorzystania potencjałów terytorialnych.</w:t>
      </w:r>
    </w:p>
    <w:p w14:paraId="5A4E0BAE" w14:textId="106CF276" w:rsidR="003420E3" w:rsidRPr="007E08F7" w:rsidRDefault="003420E3">
      <w:pPr>
        <w:numPr>
          <w:ilvl w:val="0"/>
          <w:numId w:val="17"/>
        </w:numPr>
        <w:spacing w:before="120" w:after="120" w:line="288" w:lineRule="auto"/>
        <w:ind w:left="284" w:hanging="284"/>
      </w:pPr>
      <w:r w:rsidRPr="007E08F7">
        <w:rPr>
          <w:b/>
          <w:bCs/>
        </w:rPr>
        <w:t xml:space="preserve">Równoważenie rozwoju regionu </w:t>
      </w:r>
      <w:r w:rsidRPr="007E08F7">
        <w:t>–</w:t>
      </w:r>
      <w:r w:rsidRPr="007E08F7">
        <w:rPr>
          <w:b/>
          <w:bCs/>
        </w:rPr>
        <w:t xml:space="preserve"> </w:t>
      </w:r>
      <w:r w:rsidRPr="007E08F7">
        <w:t xml:space="preserve">optymalne wykorzystanie potencjałów poszczególnych obszarów oraz poprawa spójności transportowej. Wzmacnianie roli miast </w:t>
      </w:r>
      <w:proofErr w:type="spellStart"/>
      <w:r w:rsidRPr="007E08F7">
        <w:t>subregionalnych</w:t>
      </w:r>
      <w:proofErr w:type="spellEnd"/>
      <w:r w:rsidRPr="007E08F7">
        <w:t>, ich specjalizacji i potencjału, rozwijanie powiązań gospodarczych i funkcjonalnych pomiędzy metropolią, mniejszymi ośrodkami i</w:t>
      </w:r>
      <w:r w:rsidR="0039302D" w:rsidRPr="007E08F7">
        <w:t> </w:t>
      </w:r>
      <w:r w:rsidRPr="007E08F7">
        <w:t xml:space="preserve">obszarami wiejskimi, przy zapewnieniu sprawnego, zintegrowanego i dostępnego </w:t>
      </w:r>
      <w:r w:rsidRPr="007E08F7">
        <w:lastRenderedPageBreak/>
        <w:t>publicznego transportu zbiorowego, służącego zarówno eliminacji wykluczenia transportowego oraz zjawiska ubóstwa transportowego, jak i ograniczaniu presji komunikacyjnej w głównych ośrodkach regionu. Wzmacnianie funkcji metropolitalnych w relacjach krajowych i międzynarodowych, a także dyfuzja impulsów rozwojowych poza metropolię.</w:t>
      </w:r>
    </w:p>
    <w:p w14:paraId="56A1A3E7" w14:textId="21CEF59D" w:rsidR="003420E3" w:rsidRPr="007E08F7" w:rsidRDefault="003420E3">
      <w:pPr>
        <w:numPr>
          <w:ilvl w:val="0"/>
          <w:numId w:val="17"/>
        </w:numPr>
        <w:tabs>
          <w:tab w:val="left" w:pos="309"/>
        </w:tabs>
        <w:spacing w:before="120" w:after="120" w:line="288" w:lineRule="auto"/>
        <w:ind w:left="306" w:hanging="306"/>
        <w:rPr>
          <w:rFonts w:eastAsia="Aptos"/>
        </w:rPr>
      </w:pPr>
      <w:r w:rsidRPr="007E08F7">
        <w:rPr>
          <w:rFonts w:eastAsia="Aptos"/>
          <w:b/>
          <w:bCs/>
        </w:rPr>
        <w:t xml:space="preserve">Adaptacja do zmian demograficznych </w:t>
      </w:r>
      <w:r w:rsidRPr="007E08F7">
        <w:rPr>
          <w:rFonts w:eastAsia="Aptos"/>
        </w:rPr>
        <w:t>– poprawa warunków życia poprzez wzrost dostępności mieszkań, funkcjonalnych i estetycznych przestrzeni publicznych, jakości usług publicznych, sprzyjających zatrzymaniu oraz przyciąganiu mieszkańców, pracowników, talentów i inwestorów. Wzmacnianie systemu ochrony zdrowia i opieki społecznej, w szczególności w obszarze opieki okołoporodowej, opieki nad dziećmi, osobami starszymi oraz rodzinami mierzącymi się z</w:t>
      </w:r>
      <w:r w:rsidR="0039302D" w:rsidRPr="007E08F7">
        <w:rPr>
          <w:rFonts w:eastAsia="Aptos"/>
        </w:rPr>
        <w:t> </w:t>
      </w:r>
      <w:r w:rsidRPr="007E08F7">
        <w:rPr>
          <w:rFonts w:eastAsia="Aptos"/>
        </w:rPr>
        <w:t>konsekwencjami zmian demograficznych i społecznych. Konsekwentne przekształcanie modelu świadczenia usług w kierunku systemu opartego na</w:t>
      </w:r>
      <w:r w:rsidR="00886C1F" w:rsidRPr="007E08F7">
        <w:rPr>
          <w:rFonts w:eastAsia="Aptos"/>
        </w:rPr>
        <w:t> </w:t>
      </w:r>
      <w:r w:rsidRPr="007E08F7">
        <w:rPr>
          <w:rFonts w:eastAsia="Aptos"/>
        </w:rPr>
        <w:t>profilaktyce, wczesnej diagnostyce, rehabilitacji i opiece środowiskowej, zapewniającego wyższy poziom integracji, dostępności i ciągłości opieki.</w:t>
      </w:r>
    </w:p>
    <w:p w14:paraId="23EAADDF" w14:textId="261D4FFE" w:rsidR="000F3394" w:rsidRPr="007E08F7" w:rsidRDefault="003420E3" w:rsidP="003420E3">
      <w:pPr>
        <w:rPr>
          <w:rFonts w:eastAsia="Aptos"/>
        </w:rPr>
      </w:pPr>
      <w:r w:rsidRPr="007E08F7">
        <w:rPr>
          <w:rFonts w:eastAsia="Aptos"/>
        </w:rPr>
        <w:br w:type="page"/>
      </w:r>
    </w:p>
    <w:p w14:paraId="08C98A00" w14:textId="06EC6185" w:rsidR="0037512F" w:rsidRPr="007E08F7" w:rsidRDefault="00ED2A62" w:rsidP="00B64E0B">
      <w:pPr>
        <w:pStyle w:val="Nagwek1"/>
      </w:pPr>
      <w:bookmarkStart w:id="32" w:name="_Toc239772059"/>
      <w:r w:rsidRPr="007E08F7">
        <w:lastRenderedPageBreak/>
        <w:t xml:space="preserve">Zasady horyzontalne </w:t>
      </w:r>
      <w:r w:rsidR="00C928D9">
        <w:t>S</w:t>
      </w:r>
      <w:r w:rsidRPr="007E08F7">
        <w:t>trategii</w:t>
      </w:r>
      <w:bookmarkEnd w:id="32"/>
    </w:p>
    <w:p w14:paraId="460B9631" w14:textId="4BD3E485" w:rsidR="00C3105E" w:rsidRPr="007E08F7" w:rsidRDefault="0037512F" w:rsidP="00E23359">
      <w:pPr>
        <w:spacing w:before="120" w:after="120" w:line="288" w:lineRule="auto"/>
        <w:ind w:right="-108"/>
        <w:rPr>
          <w:rFonts w:asciiTheme="minorHAnsi" w:hAnsiTheme="minorHAnsi" w:cstheme="minorBidi"/>
          <w:kern w:val="0"/>
          <w14:ligatures w14:val="none"/>
        </w:rPr>
      </w:pPr>
      <w:r w:rsidRPr="007E08F7">
        <w:rPr>
          <w:rFonts w:asciiTheme="minorHAnsi" w:hAnsiTheme="minorHAnsi" w:cstheme="minorBidi"/>
          <w:kern w:val="0"/>
          <w14:ligatures w14:val="none"/>
        </w:rPr>
        <w:t>Poniższe</w:t>
      </w:r>
      <w:r w:rsidR="00C3105E" w:rsidRPr="007E08F7">
        <w:rPr>
          <w:rFonts w:asciiTheme="minorHAnsi" w:hAnsiTheme="minorHAnsi" w:cstheme="minorBidi"/>
          <w:kern w:val="0"/>
          <w14:ligatures w14:val="none"/>
        </w:rPr>
        <w:t xml:space="preserve"> zasady horyzontalne mają zastosowanie do wszystkich celów Strategii. Z zasad tych bezpośrednio wynika zakres interwencji, system realizacji oraz kryteria horyzontalne, które będą wykorzystywane na etapie identyfikacji przedsięwzięć realizujących Strategię.</w:t>
      </w:r>
    </w:p>
    <w:p w14:paraId="458DB2A3" w14:textId="77777777" w:rsidR="00C3105E" w:rsidRPr="007E08F7" w:rsidRDefault="00C3105E" w:rsidP="00886C1F">
      <w:pPr>
        <w:pStyle w:val="Nagwek2"/>
      </w:pPr>
      <w:bookmarkStart w:id="33" w:name="_Toc239772060"/>
      <w:r w:rsidRPr="007E08F7">
        <w:t>1. Zasada wielopoziomowego zarządzania, partnerstwa i współodpowiedzialności</w:t>
      </w:r>
      <w:bookmarkEnd w:id="33"/>
    </w:p>
    <w:p w14:paraId="680AF313" w14:textId="77777777" w:rsidR="00C3105E" w:rsidRPr="007E08F7" w:rsidRDefault="00C3105E" w:rsidP="00E23359">
      <w:pPr>
        <w:spacing w:before="120" w:after="120" w:line="288" w:lineRule="auto"/>
      </w:pPr>
      <w:r w:rsidRPr="007E08F7">
        <w:t xml:space="preserve">Realizacja Strategii opierać się będzie na współpracy administracji samorządu województwa z administracją rządową, samorządową wszystkich szczebli, partnerów społecznych i gospodarczych, środowiska naukowego oraz organizacji społeczeństwa obywatelskiego. Osiąganie celów rozwojowych wymagać będzie współodpowiedzialności wszystkich uczestników procesu adekwatnie do ich kompetencji, zasobów i roli w systemie zarządzania rozwojem. Szczególne znaczenie ma wzmacnianie zdolności instytucjonalnych podmiotów publicznych i partnerów do planowania, koordynacji, realizacji oraz monitorowania działań rozwojowych, a także budowanie trwałych mechanizmów współpracy, dialogu i wymiany wiedzy. </w:t>
      </w:r>
    </w:p>
    <w:p w14:paraId="071C1445" w14:textId="1A5A4DA3" w:rsidR="00C3105E" w:rsidRPr="007E08F7" w:rsidRDefault="00C3105E" w:rsidP="00E23359">
      <w:pPr>
        <w:spacing w:before="120" w:after="120" w:line="288" w:lineRule="auto"/>
      </w:pPr>
      <w:r w:rsidRPr="007E08F7">
        <w:t>Wdrożenie tej zasady oznacza, że przedsięwzięcia realizujące Strategię analizowane będą pod kątem kryterium partnerstwa, wskazującego na przedsięwzięcia przygotowywane i realizowane we współpracy wielu podmiotów, wykorzystujące ich kompetencje, zasoby i uzupełnianie się ról w systemie zarządzania rozwojem. Drugim punktem odniesienia będzie kryterium wzmacniania zdolności instytucjonalnych, premiujące działania rozwijające trwałe mechanizmy współpracy, koordynacji, dialogu i</w:t>
      </w:r>
      <w:r w:rsidR="0039302D" w:rsidRPr="007E08F7">
        <w:t> </w:t>
      </w:r>
      <w:r w:rsidRPr="007E08F7">
        <w:t>wymiany wiedzy pomiędzy uczestnikami p</w:t>
      </w:r>
      <w:r w:rsidR="006879A6" w:rsidRPr="007E08F7">
        <w:t>olityki</w:t>
      </w:r>
      <w:r w:rsidRPr="007E08F7">
        <w:t xml:space="preserve"> rozwoju.</w:t>
      </w:r>
    </w:p>
    <w:p w14:paraId="5B4251EA" w14:textId="77777777" w:rsidR="00C3105E" w:rsidRPr="007E08F7" w:rsidRDefault="00C3105E" w:rsidP="00886C1F">
      <w:pPr>
        <w:pStyle w:val="Nagwek2"/>
      </w:pPr>
      <w:bookmarkStart w:id="34" w:name="_Toc239772061"/>
      <w:r w:rsidRPr="007E08F7">
        <w:t>2. Zasada zintegrowanego podejścia terytorialnego</w:t>
      </w:r>
      <w:bookmarkEnd w:id="34"/>
    </w:p>
    <w:p w14:paraId="1A4D565A" w14:textId="24E3CF85" w:rsidR="00C3105E" w:rsidRPr="007E08F7" w:rsidRDefault="00C3105E" w:rsidP="00E23359">
      <w:pPr>
        <w:spacing w:before="120" w:after="120" w:line="288" w:lineRule="auto"/>
      </w:pPr>
      <w:r w:rsidRPr="007E08F7">
        <w:t>Interwencja publiczna w ramach Strategii będzie projektowana w oparciu o potencjały, potrzeby i bariery konkretnych terytoriów, z uwzględnieniem ich zróżnicowania funkcjonalnego, społecznego, gospodarczego i środowiskowego. Strategia wspierać będzie zintegrowane podejście do rozwoju</w:t>
      </w:r>
      <w:r w:rsidR="006879A6" w:rsidRPr="007E08F7">
        <w:t>,</w:t>
      </w:r>
      <w:r w:rsidRPr="007E08F7">
        <w:t xml:space="preserve"> poprzez koncentrację działań na obszarach strategicznej interwencji, wzmacnianie powiązań funkcjonalnych pomiędzy różnymi częściami województwa oraz wykorzystywanie instrumentów terytorialnych umożliwiających realizację wspólnych przedsięwzięć ponad granicami </w:t>
      </w:r>
      <w:r w:rsidR="006879A6" w:rsidRPr="007E08F7">
        <w:t xml:space="preserve">administracyjnymi </w:t>
      </w:r>
      <w:r w:rsidRPr="007E08F7">
        <w:t>jednostek samorządu terytorialnego.</w:t>
      </w:r>
    </w:p>
    <w:p w14:paraId="23F67418" w14:textId="48D8B056" w:rsidR="00C3105E" w:rsidRPr="007E08F7" w:rsidRDefault="00C3105E" w:rsidP="00E23359">
      <w:pPr>
        <w:spacing w:before="120" w:after="120" w:line="288" w:lineRule="auto"/>
      </w:pPr>
      <w:r w:rsidRPr="007E08F7">
        <w:t xml:space="preserve">Zastosowanie tej zasady oznacza, że przedsięwzięcia o znaczeniu strategicznym będą oceniane z uwzględnieniem kryterium ukierunkowania terytorialnego, określającego </w:t>
      </w:r>
      <w:r w:rsidRPr="007E08F7">
        <w:lastRenderedPageBreak/>
        <w:t>stopień dopasowania interwencji do potencjałów, potrzeb i barier danego obszaru. Zasada ta wymaga również stosowania zintegrowanego podejścia terytorialnego, polegającego na planowaniu i realizacji wzajemnie powiązanych oraz komplementarnych przedsięwzięć odpowiadających na specyficzne wyzwania i</w:t>
      </w:r>
      <w:r w:rsidR="0039302D" w:rsidRPr="007E08F7">
        <w:t> </w:t>
      </w:r>
      <w:r w:rsidRPr="007E08F7">
        <w:t>możliwości poszczególnych terytoriów. Jednocześnie</w:t>
      </w:r>
      <w:r w:rsidR="006879A6" w:rsidRPr="007E08F7">
        <w:t>,</w:t>
      </w:r>
      <w:r w:rsidRPr="007E08F7">
        <w:t xml:space="preserve"> interwencja będzie ukierunkowana na wzmacnianie spójności regionalnej poprzez ograniczanie dysproporcji rozwojowych pomiędzy obszarem metropolitalnym a pozostałymi częściami województwa oraz lepsze wykorzystanie potencjałów wszystkich obszarów regionu.</w:t>
      </w:r>
    </w:p>
    <w:p w14:paraId="40D07571" w14:textId="77777777" w:rsidR="00C3105E" w:rsidRPr="007E08F7" w:rsidRDefault="00C3105E" w:rsidP="00886C1F">
      <w:pPr>
        <w:pStyle w:val="Nagwek2"/>
      </w:pPr>
      <w:bookmarkStart w:id="35" w:name="_Toc239772062"/>
      <w:r w:rsidRPr="007E08F7">
        <w:t>3. Zasada komplementarności polityk publicznych</w:t>
      </w:r>
      <w:bookmarkEnd w:id="35"/>
    </w:p>
    <w:p w14:paraId="183636C9" w14:textId="77777777" w:rsidR="00C3105E" w:rsidRPr="007E08F7" w:rsidRDefault="00C3105E" w:rsidP="00E23359">
      <w:pPr>
        <w:spacing w:before="120" w:after="120" w:line="288" w:lineRule="auto"/>
      </w:pPr>
      <w:r w:rsidRPr="007E08F7">
        <w:t>Realizacja Strategii opierać się będzie na integrowaniu działań różnych sektorów oraz projektowaniu komplementarnych pakietów interwencji. Koordynacja polityk sektorowych realizowanych na różnych poziomach zarządzania powinna zapewniać spójność celów, efektywne wykorzystanie zasobów publicznych oraz osiąganie efektów niemożliwych do uzyskania poprzez realizację rozproszonych działań.</w:t>
      </w:r>
    </w:p>
    <w:p w14:paraId="72E0827A" w14:textId="77777777" w:rsidR="00C3105E" w:rsidRPr="007E08F7" w:rsidRDefault="00C3105E" w:rsidP="00E23359">
      <w:pPr>
        <w:spacing w:before="120" w:after="120" w:line="288" w:lineRule="auto"/>
      </w:pPr>
      <w:r w:rsidRPr="007E08F7">
        <w:t>Przyjęcie tej zasady oznacza, że przedsięwzięcia realizujące Strategię analizowane będą pod kątem kryterium integracji sektorowej, oceniającego powiązanie działań z różnych obszarów polityki publicznej oraz ich wpływ na realizację wspólnych celów rozwojowych. Drugim punktem odniesienia będzie kryterium komplementarności, wskazujące na przedsięwzięcia tworzące zintegrowane pakiety działań, zapewniające efekt synergii i wysoką skuteczność interwencji.</w:t>
      </w:r>
    </w:p>
    <w:p w14:paraId="29FA6AC6" w14:textId="77777777" w:rsidR="00C3105E" w:rsidRPr="007E08F7" w:rsidRDefault="00C3105E" w:rsidP="00886C1F">
      <w:pPr>
        <w:pStyle w:val="Nagwek2"/>
      </w:pPr>
      <w:bookmarkStart w:id="36" w:name="_Toc239772063"/>
      <w:r w:rsidRPr="007E08F7">
        <w:t>4. Zasada transformacji i budowania odporności</w:t>
      </w:r>
      <w:bookmarkEnd w:id="36"/>
    </w:p>
    <w:p w14:paraId="06DEE980" w14:textId="77777777" w:rsidR="00C3105E" w:rsidRPr="007E08F7" w:rsidRDefault="00C3105E" w:rsidP="00E23359">
      <w:pPr>
        <w:spacing w:before="120" w:after="120" w:line="288" w:lineRule="auto"/>
      </w:pPr>
      <w:r w:rsidRPr="007E08F7">
        <w:t xml:space="preserve">Strategia wspierać będzie długofalowe procesy transformacyjne wzmacniające konkurencyjność oraz odporność województwa na zmiany gospodarcze, demograficzne, klimatyczne, technologiczne i geopolityczne. Interwencje powinny mieć charakter proaktywny i prowadzić do trwałych zmian strukturalnych zwiększających zdolność regionu do adaptacji, ograniczania </w:t>
      </w:r>
      <w:proofErr w:type="spellStart"/>
      <w:r w:rsidRPr="007E08F7">
        <w:t>ryzyk</w:t>
      </w:r>
      <w:proofErr w:type="spellEnd"/>
      <w:r w:rsidRPr="007E08F7">
        <w:t xml:space="preserve"> oraz szybkiego reagowania na sytuacje kryzysowe. Budowanie odporności oznacza jednocześnie rozwój potencjału instytucjonalnego, społecznego, gospodarczego i infrastrukturalnego umożliwiającego utrzymanie ciągłości funkcjonowania regionu w warunkach niepewności.</w:t>
      </w:r>
    </w:p>
    <w:p w14:paraId="30B0967D" w14:textId="77777777" w:rsidR="00C3105E" w:rsidRPr="007E08F7" w:rsidRDefault="00C3105E" w:rsidP="00E23359">
      <w:pPr>
        <w:spacing w:before="120" w:after="120" w:line="288" w:lineRule="auto"/>
      </w:pPr>
      <w:r w:rsidRPr="007E08F7">
        <w:t xml:space="preserve">Wdrożenie tej zasady oznacza, że przedsięwzięcia realizujące Strategię analizowane będą pod kątem kryterium transformacji, określającego ich potencjał do inicjowania trwałych zmian odpowiadających na kluczowe wyzwania rozwojowe oraz wzmacniających konkurencyjność regionu. Drugim punktem odniesienia będzie kryterium odporności i adaptacyjności, wskazujące na przedsięwzięcia zwiększające </w:t>
      </w:r>
      <w:r w:rsidRPr="007E08F7">
        <w:lastRenderedPageBreak/>
        <w:t>zdolność województwa do dostosowywania się do zmian gospodarczych, społecznych, środowiskowych i technologicznych oraz zapewniające ciągłość funkcjonowania.</w:t>
      </w:r>
    </w:p>
    <w:p w14:paraId="0189FBBA" w14:textId="77777777" w:rsidR="00C3105E" w:rsidRPr="007E08F7" w:rsidRDefault="00C3105E" w:rsidP="00886C1F">
      <w:pPr>
        <w:pStyle w:val="Nagwek2"/>
      </w:pPr>
      <w:bookmarkStart w:id="37" w:name="_Toc239772064"/>
      <w:r w:rsidRPr="007E08F7">
        <w:t>5. Zasada racjonalnego gospodarowania przestrzenią</w:t>
      </w:r>
      <w:bookmarkEnd w:id="37"/>
    </w:p>
    <w:p w14:paraId="258AB888" w14:textId="69D133BD" w:rsidR="00C3105E" w:rsidRPr="007E08F7" w:rsidRDefault="00C3105E" w:rsidP="00E23359">
      <w:pPr>
        <w:spacing w:before="120" w:after="120" w:line="288" w:lineRule="auto"/>
      </w:pPr>
      <w:r w:rsidRPr="007E08F7">
        <w:t>Rozwój województwa będzie odbywać się z poszanowaniem ładu przestrzennego oraz z</w:t>
      </w:r>
      <w:r w:rsidR="0039302D" w:rsidRPr="007E08F7">
        <w:t> </w:t>
      </w:r>
      <w:r w:rsidRPr="007E08F7">
        <w:t>uwzględnieniem długofalowych skutków decyzji przestrzennych dla jakości życia, konkurencyjności i odporności regionu. W ramach Strategii, planowanie przestrzenne stanowić będzie integralny element prowadzenia zintegrowanej polityki rozwoju i</w:t>
      </w:r>
      <w:r w:rsidR="0039302D" w:rsidRPr="007E08F7">
        <w:t> </w:t>
      </w:r>
      <w:r w:rsidRPr="007E08F7">
        <w:t>warunek efektywnego wykorzystania środków publicznych. Realizacja tej zasady oznacza, że przedsięwzięcia powinny spełniać kryterium pozytywnego oddziaływania przestrzennego, korzystając z zasad zagospodarowania przestrzennego zawartych w</w:t>
      </w:r>
      <w:r w:rsidR="0039302D" w:rsidRPr="007E08F7">
        <w:t> </w:t>
      </w:r>
      <w:r w:rsidRPr="007E08F7">
        <w:t>PZPWP 2050, modelu struktury funkcjonalno-przestrzennej regionu oraz ustaleń i</w:t>
      </w:r>
      <w:r w:rsidR="0039302D" w:rsidRPr="007E08F7">
        <w:t> </w:t>
      </w:r>
      <w:r w:rsidRPr="007E08F7">
        <w:t xml:space="preserve">rekomendacji w zakresie kształtowania i prowadzenia polityki przestrzennej. </w:t>
      </w:r>
    </w:p>
    <w:p w14:paraId="55D60875" w14:textId="77777777" w:rsidR="00C3105E" w:rsidRPr="007E08F7" w:rsidRDefault="00C3105E" w:rsidP="00886C1F">
      <w:pPr>
        <w:pStyle w:val="Nagwek2"/>
      </w:pPr>
      <w:bookmarkStart w:id="38" w:name="_Toc239772065"/>
      <w:r w:rsidRPr="007E08F7">
        <w:t>6. Zasada transformacji cyfrowej</w:t>
      </w:r>
      <w:bookmarkEnd w:id="38"/>
    </w:p>
    <w:p w14:paraId="0F0F47B0" w14:textId="77777777" w:rsidR="00C3105E" w:rsidRPr="007E08F7" w:rsidRDefault="00C3105E" w:rsidP="00E23359">
      <w:pPr>
        <w:spacing w:before="120" w:after="120" w:line="288" w:lineRule="auto"/>
      </w:pPr>
      <w:r w:rsidRPr="007E08F7">
        <w:t xml:space="preserve">Strategia wspierać będzie rozwój </w:t>
      </w:r>
      <w:proofErr w:type="spellStart"/>
      <w:r w:rsidRPr="007E08F7">
        <w:t>interoperacyjnych</w:t>
      </w:r>
      <w:proofErr w:type="spellEnd"/>
      <w:r w:rsidRPr="007E08F7">
        <w:t xml:space="preserve"> usług cyfrowych, </w:t>
      </w:r>
      <w:proofErr w:type="spellStart"/>
      <w:r w:rsidRPr="007E08F7">
        <w:t>cyberbezpieczeństwa</w:t>
      </w:r>
      <w:proofErr w:type="spellEnd"/>
      <w:r w:rsidRPr="007E08F7">
        <w:t xml:space="preserve"> oraz kompetencji cyfrowych. Rozwiązania cyfrowe powinny wspierać integrację usług, poprawę dostępności, zarządzanie oparte na danych oraz zwiększanie efektywności realizacji polityk publicznych.</w:t>
      </w:r>
    </w:p>
    <w:p w14:paraId="583DD831" w14:textId="0459F1A3" w:rsidR="00C3105E" w:rsidRPr="007E08F7" w:rsidRDefault="00C3105E" w:rsidP="00E23359">
      <w:pPr>
        <w:spacing w:before="120" w:after="120" w:line="288" w:lineRule="auto"/>
      </w:pPr>
      <w:r w:rsidRPr="007E08F7">
        <w:t>W praktyce zasada ta oznacza, że przedsięwzięcia realizujące Strategię analizowane będą pod kątem kryterium cyfryzacji procesów i usług. Drugim punktem odniesienia będzie kryterium bezpieczeństwa cyfrowego, wskazujące na przedsięwzięcia wykorzystujące potencjał danych, zapewniające współdziałanie systemów oraz zwiększające zdolność regionu do funkcjonowania w warunkach rosnącej zależności od</w:t>
      </w:r>
      <w:r w:rsidR="00886C1F" w:rsidRPr="007E08F7">
        <w:t> </w:t>
      </w:r>
      <w:r w:rsidRPr="007E08F7">
        <w:t>technologii cyfrowych.</w:t>
      </w:r>
    </w:p>
    <w:p w14:paraId="579BC4EA" w14:textId="77777777" w:rsidR="00C3105E" w:rsidRPr="007E08F7" w:rsidRDefault="00C3105E" w:rsidP="00886C1F">
      <w:pPr>
        <w:pStyle w:val="Nagwek2"/>
      </w:pPr>
      <w:bookmarkStart w:id="39" w:name="_Toc239772066"/>
      <w:r w:rsidRPr="007E08F7">
        <w:t>7. Zasada innowacyjności i wykorzystania potencjałów regionalnych</w:t>
      </w:r>
      <w:bookmarkEnd w:id="39"/>
    </w:p>
    <w:p w14:paraId="0DDE1B2E" w14:textId="6F5F265D" w:rsidR="00C3105E" w:rsidRPr="007E08F7" w:rsidRDefault="00C3105E" w:rsidP="00E23359">
      <w:pPr>
        <w:spacing w:before="120" w:after="120" w:line="288" w:lineRule="auto"/>
      </w:pPr>
      <w:r w:rsidRPr="007E08F7">
        <w:t>Strategia wspiera rozwój innowacji technologicznych, organizacyjnych i społecznych oraz wykorzystanie endogenicznych potencjałów województwa</w:t>
      </w:r>
      <w:r w:rsidR="006879A6" w:rsidRPr="007E08F7">
        <w:t>,</w:t>
      </w:r>
      <w:r w:rsidRPr="007E08F7">
        <w:t xml:space="preserve"> jako podstawy trwałego rozwoju. Szczególne znaczenie mają strategiczne sektory i technologie, wokół których koncentrowane będą działania wzmacniające konkurencyjność gospodarki i zdolność regionu do transformacji. Innowacyjność powinna przenikać wszystkie obszary polityki rozwoju, obejmując zarówno rozwiązania technologiczne, jak i nowe modele współpracy oraz świadczenia usług publicznych.</w:t>
      </w:r>
    </w:p>
    <w:p w14:paraId="1CC562D8" w14:textId="2E61DAAF" w:rsidR="00C3105E" w:rsidRPr="007E08F7" w:rsidRDefault="00C3105E" w:rsidP="00E23359">
      <w:pPr>
        <w:spacing w:before="120" w:after="120" w:line="288" w:lineRule="auto"/>
      </w:pPr>
      <w:r w:rsidRPr="007E08F7">
        <w:lastRenderedPageBreak/>
        <w:t>Wdrożenie tej zasady oznacza, że przedsięwzięcia realizujące Strategię analizowane będą pod kątem kryterium innowacyjności, oceniającego ich wkład w tworzenie i</w:t>
      </w:r>
      <w:r w:rsidR="0039302D" w:rsidRPr="007E08F7">
        <w:t> </w:t>
      </w:r>
      <w:r w:rsidRPr="007E08F7">
        <w:t xml:space="preserve">wdrażanie nowych rozwiązań, modeli działania oraz sposobów świadczenia usług odpowiadających na współczesne wyzwania rozwojowe. Drugim punktem odniesienia będzie kryterium specjalizacji i potencjałów regionalnych, wskazujące na przedsięwzięcia wykorzystujące unikalne zasoby, kompetencje i przewagi województwa, w szczególności w obszarach Inteligentnych Specjalizacji Pomorza oraz </w:t>
      </w:r>
      <w:r w:rsidR="006879A6" w:rsidRPr="007E08F7">
        <w:t>strategicznych sektorów i technologii</w:t>
      </w:r>
      <w:r w:rsidRPr="007E08F7">
        <w:t>.</w:t>
      </w:r>
    </w:p>
    <w:p w14:paraId="5B6DB59C" w14:textId="77777777" w:rsidR="00C3105E" w:rsidRPr="007E08F7" w:rsidRDefault="00C3105E" w:rsidP="00886C1F">
      <w:pPr>
        <w:pStyle w:val="Nagwek2"/>
      </w:pPr>
      <w:bookmarkStart w:id="40" w:name="_Toc239772067"/>
      <w:r w:rsidRPr="007E08F7">
        <w:t>8. Zasada zrównoważonego rozwoju i neutralności klimatycznej</w:t>
      </w:r>
      <w:bookmarkEnd w:id="40"/>
    </w:p>
    <w:p w14:paraId="1ADD03E8" w14:textId="141A82DB" w:rsidR="00C3105E" w:rsidRPr="007E08F7" w:rsidRDefault="00C3105E" w:rsidP="00E23359">
      <w:pPr>
        <w:spacing w:before="120" w:after="120" w:line="288" w:lineRule="auto"/>
      </w:pPr>
      <w:r w:rsidRPr="007E08F7">
        <w:t>Realizacja Strategii zapewniać będzie równowagę pomiędzy rozwojem gospodarczym, społecznym i środowiskowym oraz wspierać osiąganie celów neutralności klimatycznej i</w:t>
      </w:r>
      <w:r w:rsidR="0039302D" w:rsidRPr="007E08F7">
        <w:t> </w:t>
      </w:r>
      <w:r w:rsidRPr="007E08F7">
        <w:t>adaptacji do zmian klimatu. Wszystkie interwencje uwzględniać będą ich długofalowy wpływ na środowisko, efektywność wykorzystania zasobów (w tym GOZ), ochronę różnorodności biologicznej oraz bezpieczeństwo zasobowe regionu. Transformacja klimatyczna powinna jednocześnie wzmacniać odporność gospodarki i społeczności lokalnych.</w:t>
      </w:r>
    </w:p>
    <w:p w14:paraId="2BEB93C7" w14:textId="77777777" w:rsidR="00C3105E" w:rsidRPr="007E08F7" w:rsidRDefault="00C3105E" w:rsidP="00E23359">
      <w:pPr>
        <w:spacing w:before="120" w:after="120" w:line="288" w:lineRule="auto"/>
      </w:pPr>
      <w:r w:rsidRPr="007E08F7">
        <w:t>Stosowanie tej zasady oznacza, że przedsięwzięcia realizujące Strategię analizowane będą pod kątem kryterium zrównoważenia środowiskowego, wskazującego na stopień uwzględnienia w planowanych działaniach długofalowych skutków środowiskowych, efektywności wykorzystania zasobów, ochrony ekosystemów i różnorodności biologicznej. Dodatkowo, pod uwagę brane będzie kryterium wkładu w transformację klimatyczną i odporność zasobową, które premiuje przedsięwzięcia wspierające ograniczanie emisji, adaptację do zmian klimatu, zwiększanie efektywności energetycznej oraz wzmacnianie bezpieczeństwa zasobowego.</w:t>
      </w:r>
    </w:p>
    <w:p w14:paraId="0791117D" w14:textId="77777777" w:rsidR="00C3105E" w:rsidRPr="007E08F7" w:rsidRDefault="00C3105E" w:rsidP="00886C1F">
      <w:pPr>
        <w:pStyle w:val="Nagwek2"/>
      </w:pPr>
      <w:bookmarkStart w:id="41" w:name="_Toc239772068"/>
      <w:r w:rsidRPr="007E08F7">
        <w:t>9. Zasada dostępności i dopasowania usług</w:t>
      </w:r>
      <w:bookmarkEnd w:id="41"/>
    </w:p>
    <w:p w14:paraId="635893DE" w14:textId="77777777" w:rsidR="00C3105E" w:rsidRPr="007E08F7" w:rsidRDefault="00C3105E" w:rsidP="00E23359">
      <w:pPr>
        <w:spacing w:before="120" w:after="120" w:line="288" w:lineRule="auto"/>
      </w:pPr>
      <w:r w:rsidRPr="007E08F7">
        <w:t>Strategia zapewnia równy dostęp mieszkańców do wysokiej jakości usług publicznych niezależnie od miejsca zamieszkania oraz wspiera ograniczanie nierówności społecznych i terytorialnych. Szczególny nacisk kładzie na rozwój usług świadczonych jak najbliżej mieszkańców, projektowanie uniwersalne oraz zwiększanie dostępności dla osób o różnych potrzebach.</w:t>
      </w:r>
    </w:p>
    <w:p w14:paraId="582D92F9" w14:textId="15700A53" w:rsidR="00C3105E" w:rsidRPr="007E08F7" w:rsidRDefault="00C3105E" w:rsidP="00E23359">
      <w:pPr>
        <w:spacing w:before="120" w:after="120" w:line="288" w:lineRule="auto"/>
      </w:pPr>
      <w:r w:rsidRPr="007E08F7">
        <w:t>Wdrożenie tej zasady oznacza, że przedsięwzięcia realizujące Strategię analizowane będą pod kątem kryterium dostępności i bliskości usług, oceniającego ich wkład w</w:t>
      </w:r>
      <w:r w:rsidR="0039302D" w:rsidRPr="007E08F7">
        <w:t> </w:t>
      </w:r>
      <w:r w:rsidRPr="007E08F7">
        <w:t xml:space="preserve">rozwój wysokiej jakości usług publicznych odpowiadających na potrzeby mieszkańców, dostępnych niezależnie od miejsca zamieszkania i świadczonych możliwie najbliżej społeczności lokalnych. </w:t>
      </w:r>
    </w:p>
    <w:p w14:paraId="676C46CD" w14:textId="77777777" w:rsidR="00C3105E" w:rsidRPr="007E08F7" w:rsidRDefault="00C3105E" w:rsidP="00886C1F">
      <w:pPr>
        <w:pStyle w:val="Nagwek2"/>
      </w:pPr>
      <w:bookmarkStart w:id="42" w:name="_Toc239772069"/>
      <w:r w:rsidRPr="007E08F7">
        <w:lastRenderedPageBreak/>
        <w:t>10. Zasada aktywności obywatelskiej i kapitału społecznego</w:t>
      </w:r>
      <w:bookmarkEnd w:id="42"/>
    </w:p>
    <w:p w14:paraId="3FE51957" w14:textId="77777777" w:rsidR="00C3105E" w:rsidRPr="007E08F7" w:rsidRDefault="00C3105E" w:rsidP="00E23359">
      <w:pPr>
        <w:spacing w:before="120" w:after="120" w:line="288" w:lineRule="auto"/>
      </w:pPr>
      <w:r w:rsidRPr="007E08F7">
        <w:t>Rozwój województwa wymaga aktywnego udziału lokalnych społeczności, organizacji społeczeństwa obywatelskiego i innych lokalnych interesariuszy w przygotowywaniu oraz realizacji polityk publicznych. Strategia wspierać będzie rozwój społeczeństwa obywatelskiego oraz wzmacniać zdolność społeczności lokalnych do współtworzenia rozwiązań odpowiadających na lokalne potrzeby.</w:t>
      </w:r>
    </w:p>
    <w:p w14:paraId="120F50A0" w14:textId="1791757D" w:rsidR="00C3105E" w:rsidRPr="007E08F7" w:rsidRDefault="00C3105E" w:rsidP="00E23359">
      <w:pPr>
        <w:spacing w:before="120" w:after="120" w:line="288" w:lineRule="auto"/>
      </w:pPr>
      <w:r w:rsidRPr="007E08F7">
        <w:t>Wdrożenie tej zasady oznacza, że przedsięwzięcia realizujące Strategię analizowane będą pod kątem kryterium współuczestnictwa, oceniającego ich zdolność do angażowania mieszkańców i organizacji społecznych w tworzenie oraz wdrażanie rozwiązań odpowiadających na potrzeby lokalne. Drugim punktem odniesienia będzie kryterium rozwoju kapitału społecznego, wskazujące na przedsięwzięcia wzmacniające więzi społeczne, aktywność obywatelską, współodpowiedzialność za rozwój oraz odporność społeczności lokalnych.</w:t>
      </w:r>
    </w:p>
    <w:p w14:paraId="4542BD41" w14:textId="77777777" w:rsidR="00C3105E" w:rsidRPr="007E08F7" w:rsidRDefault="00C3105E" w:rsidP="00886C1F">
      <w:pPr>
        <w:pStyle w:val="Nagwek2"/>
      </w:pPr>
      <w:bookmarkStart w:id="43" w:name="_Toc239772070"/>
      <w:r w:rsidRPr="007E08F7">
        <w:t>11. Zasada równości i niedyskryminacji</w:t>
      </w:r>
      <w:bookmarkEnd w:id="43"/>
    </w:p>
    <w:p w14:paraId="2C6349D2" w14:textId="77777777" w:rsidR="00C3105E" w:rsidRPr="007E08F7" w:rsidRDefault="00C3105E" w:rsidP="00E23359">
      <w:pPr>
        <w:spacing w:before="120" w:after="120" w:line="288" w:lineRule="auto"/>
      </w:pPr>
      <w:r w:rsidRPr="007E08F7">
        <w:t xml:space="preserve">Realizacja Strategii będzie uwzględniać i promować równość wszystkich mieszkańców bez względu na płeć, rasę lub pochodzenie etniczne i narodowe, religię lub światopogląd, niepełnosprawność, wiek, orientację seksualną czy status społeczno-ekonomiczny. </w:t>
      </w:r>
    </w:p>
    <w:p w14:paraId="7813C3A5" w14:textId="77777777" w:rsidR="00C3105E" w:rsidRPr="007E08F7" w:rsidRDefault="00C3105E" w:rsidP="00E23359">
      <w:pPr>
        <w:spacing w:before="120" w:after="120" w:line="288" w:lineRule="auto"/>
      </w:pPr>
      <w:r w:rsidRPr="007E08F7">
        <w:t>Wdrożenie tej zasady oznacza, że przedsięwzięcia realizujące Strategię analizowane będą pod kątem kryterium równego traktowania, wskazujące na przedsięwzięcia przyczyniające się do ograniczania nierówności, wzmacniania integracji oraz budowania równych szans rozwoju mieszkańców.</w:t>
      </w:r>
    </w:p>
    <w:p w14:paraId="29458049" w14:textId="77777777" w:rsidR="00C3105E" w:rsidRPr="007E08F7" w:rsidRDefault="00C3105E" w:rsidP="00886C1F">
      <w:pPr>
        <w:pStyle w:val="Nagwek2"/>
      </w:pPr>
      <w:bookmarkStart w:id="44" w:name="_Toc239772071"/>
      <w:r w:rsidRPr="007E08F7">
        <w:t>12. Zasada koncentracji na rezultatach</w:t>
      </w:r>
      <w:bookmarkEnd w:id="44"/>
    </w:p>
    <w:p w14:paraId="6A57475C" w14:textId="77777777" w:rsidR="00C3105E" w:rsidRPr="007E08F7" w:rsidRDefault="00C3105E" w:rsidP="00E23359">
      <w:pPr>
        <w:spacing w:before="120" w:after="120" w:line="288" w:lineRule="auto"/>
      </w:pPr>
      <w:r w:rsidRPr="007E08F7">
        <w:t>Realizacja Strategii powinna być ukierunkowana na osiąganie trwałych i mierzalnych efektów rozwojowych. Planowanie, finansowanie oraz wdrażanie interwencji powinno opierać się na jasno zdefiniowanych rezultatach, wskaźnikach oraz wykorzystaniu danych i dowodów w procesie podejmowania decyzji. System monitorowania i ewaluacji powinien umożliwiać ocenę skuteczności działań, ich wpływu na rozwój regionu oraz bieżące dostosowywanie interwencji do zmieniających się uwarunkowań i potrzeb.</w:t>
      </w:r>
    </w:p>
    <w:p w14:paraId="31598245" w14:textId="77777777" w:rsidR="00C3105E" w:rsidRPr="007E08F7" w:rsidRDefault="00C3105E" w:rsidP="00E23359">
      <w:pPr>
        <w:spacing w:before="120" w:after="120" w:line="288" w:lineRule="auto"/>
      </w:pPr>
      <w:r w:rsidRPr="007E08F7">
        <w:t xml:space="preserve">Zastosowanie tej zasady oznacza, że przedsięwzięcia realizujące Strategię analizowane będą pod kątem kryterium efektywności i mierzalności rezultatów, oceniającego ich zdolność do generowania trwałych efektów odpowiadających na zidentyfikowane wyzwania rozwojowe oraz przyczyniających się do osiągania celów strategicznych. Drugim punktem odniesienia będzie kryterium wykorzystania wiedzy i danych, </w:t>
      </w:r>
      <w:r w:rsidRPr="007E08F7">
        <w:lastRenderedPageBreak/>
        <w:t>wskazujące na przedsięwzięcia projektowane i realizowane w oparciu o rzetelną diagnozę, system monitorowania efektów oraz możliwość elastycznego dostosowywania działań do zmieniających się uwarunkowań i potrzeb.</w:t>
      </w:r>
    </w:p>
    <w:p w14:paraId="51E74F7B" w14:textId="77777777" w:rsidR="00C3105E" w:rsidRPr="007E08F7" w:rsidRDefault="00C3105E" w:rsidP="00886C1F">
      <w:pPr>
        <w:pStyle w:val="Nagwek2"/>
      </w:pPr>
      <w:bookmarkStart w:id="45" w:name="_Toc239772072"/>
      <w:r w:rsidRPr="007E08F7">
        <w:t>13. Zasada aktywnej współpracy międzyregionalnej i międzynarodowej</w:t>
      </w:r>
      <w:bookmarkEnd w:id="45"/>
    </w:p>
    <w:p w14:paraId="1AE5A296" w14:textId="2B929CE8" w:rsidR="00192246" w:rsidRDefault="00192246" w:rsidP="00192246">
      <w:pPr>
        <w:spacing w:before="120" w:after="120" w:line="288" w:lineRule="auto"/>
      </w:pPr>
      <w:r>
        <w:t>Realizacja Strategii zakłada aktywne zaangażowanie województwa pomorskiego we współpracę z innymi regionami w Polsce i za granicą oraz w międzynarodowych sieciach współpracy, w szczególności w Regionie Morza Bałtyckiego. Współpraca ta powinna wzmacniać pozycję i potencjał rozwojowy Pomorza oraz umożliwiać skuteczne wykorzystanie szans wynikających z jego nadmorskiego położenia.</w:t>
      </w:r>
    </w:p>
    <w:p w14:paraId="769B1F0B" w14:textId="4B79B533" w:rsidR="00192246" w:rsidRDefault="00192246" w:rsidP="00192246">
      <w:pPr>
        <w:spacing w:before="120" w:after="120" w:line="288" w:lineRule="auto"/>
      </w:pPr>
      <w:r>
        <w:t>Współpraca międzyregionalna powinna służyć w szczególności realizacji wspólnych przedsięwzięć infrastrukturalnych, wzmacnianiu powiązań gospodarczych i</w:t>
      </w:r>
      <w:r w:rsidR="008601C0">
        <w:t> </w:t>
      </w:r>
      <w:r>
        <w:t>funkcjonalnych, wymianie wiedzy i doświadczeń, a także budowaniu bezpieczeństwa, odporności i zdolności do współdziałania w sytuacjach kryzysowych.</w:t>
      </w:r>
    </w:p>
    <w:p w14:paraId="3802DEEF" w14:textId="66818403" w:rsidR="00192246" w:rsidRDefault="00192246" w:rsidP="00192246">
      <w:pPr>
        <w:spacing w:before="120" w:after="120" w:line="288" w:lineRule="auto"/>
      </w:pPr>
      <w:r>
        <w:t>W wymiarze międzynarodowym szczególne znaczenie ma aktywność Pomorza w</w:t>
      </w:r>
      <w:r w:rsidR="008601C0">
        <w:t> </w:t>
      </w:r>
      <w:r>
        <w:t>Regionie Morza Bałtyckiego i strukturach europejskich oraz rozwijanie relacji z</w:t>
      </w:r>
      <w:r w:rsidR="008601C0">
        <w:t> </w:t>
      </w:r>
      <w:r>
        <w:t>partnerami spoza Europy. Współpraca powinna służyć współtworzeniu silnego, bezpiecznego, odpornego, konkurencyjnego i innowacyjnego Regionu Morza Bałtyckiego. Szczególne znaczenie będzie miała współpraca w obszarach bezpieczeństwa i odporności, gospodarki morskiej, energetyki, transportu i logistyki, innowacji oraz ochrony środowiska.</w:t>
      </w:r>
    </w:p>
    <w:p w14:paraId="612F4D11" w14:textId="7F4C324D" w:rsidR="00192246" w:rsidRDefault="00192246" w:rsidP="00192246">
      <w:pPr>
        <w:spacing w:before="120" w:after="120" w:line="288" w:lineRule="auto"/>
      </w:pPr>
      <w:r>
        <w:t>Partnerstwa międzynarodowe i makroregionalne powinny odpowiadać na konkretne potrzeby rozwojowe województwa, m.in. poprzez realizację wspólnych projektów i</w:t>
      </w:r>
      <w:r w:rsidR="008601C0">
        <w:t> </w:t>
      </w:r>
      <w:r>
        <w:t>inwestycji, pozyskiwanie finansowania, transfer wiedzy i technologii, rozwój kompetencji, dostęp do nowych rynków oraz wzmacnianie usług publicznych. Współpraca międzynarodowa powinna także zwiększać zdolność podmiotów z Pomorza do uczestnictwa w europejskich i globalnych sieciach oraz łańcuchach wartości. Szczególne znaczenie ma długofalowa współpraca z Ukrainą oraz regionami państw uczestniczących w procesie rozszerzenia Unii Europejskiej, służąca wzmacnianiu stabilności europejskiego sąsiedztwa, współpracy instytucjonalnej i integracji europejskiej.</w:t>
      </w:r>
    </w:p>
    <w:p w14:paraId="6EAC61A3" w14:textId="77777777" w:rsidR="00192246" w:rsidRDefault="00192246" w:rsidP="00192246">
      <w:pPr>
        <w:spacing w:before="120" w:after="120" w:line="288" w:lineRule="auto"/>
      </w:pPr>
      <w:r>
        <w:t>Wdrożenie zasady oznacza, że przedsięwzięcia realizujące Strategię będą oceniane pod kątem sieciowania i współpracy, wzmacniania pozycji Pomorza oraz wartości dodanej dla rozwoju województwa, rozumianej jako zdolność do pozyskiwania wiedzy, technologii, finansowania, kompetencji, partnerów i dostępu do rynków oraz wzmacniania bezpieczeństwa i odporności regionu.</w:t>
      </w:r>
    </w:p>
    <w:p w14:paraId="49EEF918" w14:textId="18343FBD" w:rsidR="0037512F" w:rsidRPr="007E08F7" w:rsidRDefault="00192246" w:rsidP="00192246">
      <w:pPr>
        <w:spacing w:before="120" w:after="120" w:line="288" w:lineRule="auto"/>
      </w:pPr>
      <w:r>
        <w:lastRenderedPageBreak/>
        <w:t>Współpraca międzynarodowa województwa będzie prowadzona w zgodzie z</w:t>
      </w:r>
      <w:r w:rsidR="008601C0">
        <w:t> </w:t>
      </w:r>
      <w:r>
        <w:t>Priorytetami współpracy zagranicznej Województwa Pomorskiego przyjmowanymi przez Sejmik Województwa Pomorskiego, polityką zagraniczną Rzeczypospolitej Polskiej oraz politykami Unii Europejskiej.</w:t>
      </w:r>
    </w:p>
    <w:p w14:paraId="23FB7722" w14:textId="630E45DF" w:rsidR="0037512F" w:rsidRPr="007E08F7" w:rsidRDefault="0037512F" w:rsidP="00B911F1">
      <w:r w:rsidRPr="007E08F7">
        <w:br w:type="page"/>
      </w:r>
    </w:p>
    <w:p w14:paraId="76E11FBB" w14:textId="2AD1C75C" w:rsidR="00D40F4A" w:rsidRPr="007E08F7" w:rsidRDefault="00B3693D" w:rsidP="00B64E0B">
      <w:pPr>
        <w:pStyle w:val="Nagwek1"/>
      </w:pPr>
      <w:bookmarkStart w:id="46" w:name="_Toc239772073"/>
      <w:r w:rsidRPr="007E08F7">
        <w:lastRenderedPageBreak/>
        <w:t>Cele strategiczne i operacyjne</w:t>
      </w:r>
      <w:bookmarkEnd w:id="46"/>
    </w:p>
    <w:p w14:paraId="1E5C551F" w14:textId="5928D3B0" w:rsidR="00293E37" w:rsidRPr="007E08F7" w:rsidRDefault="00022598" w:rsidP="00574CD5">
      <w:pPr>
        <w:spacing w:before="120" w:after="120" w:line="288" w:lineRule="auto"/>
        <w:rPr>
          <w:rFonts w:eastAsia="Aptos" w:cs="Times New Roman"/>
          <w:kern w:val="0"/>
          <w14:ligatures w14:val="none"/>
        </w:rPr>
      </w:pPr>
      <w:r w:rsidRPr="007E08F7">
        <w:rPr>
          <w:rFonts w:eastAsia="Aptos" w:cs="Times New Roman"/>
          <w:b/>
          <w:bCs/>
          <w:kern w:val="0"/>
          <w14:ligatures w14:val="none"/>
        </w:rPr>
        <w:t>C</w:t>
      </w:r>
      <w:r w:rsidR="0089076A" w:rsidRPr="007E08F7">
        <w:rPr>
          <w:rFonts w:eastAsia="Aptos" w:cs="Times New Roman"/>
          <w:b/>
          <w:bCs/>
          <w:kern w:val="0"/>
          <w14:ligatures w14:val="none"/>
        </w:rPr>
        <w:t xml:space="preserve">elem horyzontalnym </w:t>
      </w:r>
      <w:r w:rsidR="00D57263" w:rsidRPr="007E08F7">
        <w:rPr>
          <w:rFonts w:eastAsia="Aptos" w:cs="Times New Roman"/>
          <w:b/>
          <w:bCs/>
          <w:kern w:val="0"/>
          <w14:ligatures w14:val="none"/>
        </w:rPr>
        <w:t xml:space="preserve">Strategii Rozwoju Województwa Pomorskiego 2035 </w:t>
      </w:r>
      <w:r w:rsidRPr="007E08F7">
        <w:rPr>
          <w:rFonts w:eastAsia="Aptos" w:cs="Times New Roman"/>
          <w:b/>
          <w:bCs/>
          <w:kern w:val="0"/>
          <w14:ligatures w14:val="none"/>
        </w:rPr>
        <w:t xml:space="preserve">jest wysoka jakość życia na Pomorzu. </w:t>
      </w:r>
      <w:r w:rsidR="00EE37D1" w:rsidRPr="007E08F7">
        <w:rPr>
          <w:rFonts w:eastAsia="Aptos" w:cs="Times New Roman"/>
          <w:kern w:val="0"/>
          <w14:ligatures w14:val="none"/>
        </w:rPr>
        <w:t>Wyraża się ona</w:t>
      </w:r>
      <w:r w:rsidR="00B51534" w:rsidRPr="007E08F7">
        <w:rPr>
          <w:rFonts w:eastAsia="Aptos" w:cs="Times New Roman"/>
          <w:kern w:val="0"/>
          <w14:ligatures w14:val="none"/>
        </w:rPr>
        <w:t xml:space="preserve"> </w:t>
      </w:r>
      <w:r w:rsidR="00EE37D1" w:rsidRPr="007E08F7">
        <w:rPr>
          <w:rFonts w:eastAsia="Aptos" w:cs="Times New Roman"/>
          <w:kern w:val="0"/>
          <w14:ligatures w14:val="none"/>
        </w:rPr>
        <w:t>j</w:t>
      </w:r>
      <w:r w:rsidR="00691373" w:rsidRPr="007E08F7">
        <w:rPr>
          <w:rFonts w:eastAsia="Aptos" w:cs="Times New Roman"/>
          <w:kern w:val="0"/>
          <w14:ligatures w14:val="none"/>
        </w:rPr>
        <w:t>ako wymierny kapitał strategiczny</w:t>
      </w:r>
      <w:r w:rsidR="009D3925" w:rsidRPr="007E08F7">
        <w:rPr>
          <w:rFonts w:eastAsia="Aptos" w:cs="Times New Roman"/>
          <w:kern w:val="0"/>
          <w14:ligatures w14:val="none"/>
        </w:rPr>
        <w:t xml:space="preserve"> </w:t>
      </w:r>
      <w:r w:rsidR="00BF1650" w:rsidRPr="007E08F7">
        <w:rPr>
          <w:rFonts w:eastAsia="Aptos" w:cs="Times New Roman"/>
          <w:kern w:val="0"/>
          <w14:ligatures w14:val="none"/>
        </w:rPr>
        <w:t xml:space="preserve">pozwalający </w:t>
      </w:r>
      <w:r w:rsidR="008751CA" w:rsidRPr="007E08F7">
        <w:rPr>
          <w:rFonts w:eastAsia="Aptos" w:cs="Times New Roman"/>
          <w:kern w:val="0"/>
          <w14:ligatures w14:val="none"/>
        </w:rPr>
        <w:t xml:space="preserve">aktywnie </w:t>
      </w:r>
      <w:r w:rsidR="009D3925" w:rsidRPr="007E08F7">
        <w:rPr>
          <w:rFonts w:eastAsia="Aptos" w:cs="Times New Roman"/>
          <w:kern w:val="0"/>
          <w14:ligatures w14:val="none"/>
        </w:rPr>
        <w:t>kształt</w:t>
      </w:r>
      <w:r w:rsidR="00BF1650" w:rsidRPr="007E08F7">
        <w:rPr>
          <w:rFonts w:eastAsia="Aptos" w:cs="Times New Roman"/>
          <w:kern w:val="0"/>
          <w14:ligatures w14:val="none"/>
        </w:rPr>
        <w:t>ować</w:t>
      </w:r>
      <w:r w:rsidR="009D3925" w:rsidRPr="007E08F7">
        <w:rPr>
          <w:rFonts w:eastAsia="Aptos" w:cs="Times New Roman"/>
          <w:kern w:val="0"/>
          <w14:ligatures w14:val="none"/>
        </w:rPr>
        <w:t xml:space="preserve"> przyszłość</w:t>
      </w:r>
      <w:r w:rsidR="00E946F1" w:rsidRPr="007E08F7">
        <w:rPr>
          <w:rFonts w:eastAsia="Aptos" w:cs="Times New Roman"/>
          <w:kern w:val="0"/>
          <w14:ligatures w14:val="none"/>
        </w:rPr>
        <w:t xml:space="preserve">. Ukazuje </w:t>
      </w:r>
      <w:r w:rsidR="00293E37" w:rsidRPr="007E08F7">
        <w:t>Pomorskie jako region oferujący obecnym i przyszłym mieszkańcom najlepsze w Polsce warunki i jakość życia, nawiązujące do standardów właściwych dla rozwiniętych krajów Regionu Morza Bałtyckiego, w oparciu o:</w:t>
      </w:r>
    </w:p>
    <w:p w14:paraId="64418E2A" w14:textId="55AEE99A" w:rsidR="00293E37" w:rsidRPr="007E08F7" w:rsidRDefault="00293E37">
      <w:pPr>
        <w:pStyle w:val="Akapitzlist"/>
        <w:numPr>
          <w:ilvl w:val="0"/>
          <w:numId w:val="16"/>
        </w:numPr>
        <w:spacing w:before="120" w:after="120" w:line="288" w:lineRule="auto"/>
        <w:ind w:left="357" w:hanging="357"/>
        <w:contextualSpacing w:val="0"/>
      </w:pPr>
      <w:r w:rsidRPr="007E08F7">
        <w:t>gospodarkę wykorzystującą twórczo i innowacyjnie impulsy rozwojowe</w:t>
      </w:r>
      <w:r w:rsidR="00F7707E" w:rsidRPr="007E08F7">
        <w:t>,</w:t>
      </w:r>
      <w:r w:rsidRPr="007E08F7">
        <w:t xml:space="preserve"> wynikające przede wszystkim z nadmorskiego położenia regionu oraz zmian na mapie energetycznej i przemysłowej Polski;</w:t>
      </w:r>
    </w:p>
    <w:p w14:paraId="34222A56" w14:textId="36F6AB2F" w:rsidR="00293E37" w:rsidRPr="007E08F7" w:rsidRDefault="00293E37">
      <w:pPr>
        <w:pStyle w:val="Akapitzlist"/>
        <w:numPr>
          <w:ilvl w:val="0"/>
          <w:numId w:val="16"/>
        </w:numPr>
        <w:spacing w:before="120" w:after="120" w:line="288" w:lineRule="auto"/>
        <w:ind w:left="357" w:hanging="357"/>
        <w:contextualSpacing w:val="0"/>
      </w:pPr>
      <w:r w:rsidRPr="007E08F7">
        <w:t>dbałość o równe standardy dostępności i jakości usług publicznych dla mieszkańców wszystkich części regionu oraz wykorzystywanie unikalnych szans i</w:t>
      </w:r>
      <w:r w:rsidR="0039302D" w:rsidRPr="007E08F7">
        <w:t> </w:t>
      </w:r>
      <w:r w:rsidRPr="007E08F7">
        <w:t>ścieżek rozwojowych dla poszczególnych miast i gmin;</w:t>
      </w:r>
    </w:p>
    <w:p w14:paraId="2B5F735B" w14:textId="07391689" w:rsidR="00293E37" w:rsidRPr="007E08F7" w:rsidRDefault="00293E37">
      <w:pPr>
        <w:pStyle w:val="Akapitzlist"/>
        <w:numPr>
          <w:ilvl w:val="0"/>
          <w:numId w:val="16"/>
        </w:numPr>
        <w:spacing w:before="120" w:after="120" w:line="288" w:lineRule="auto"/>
        <w:ind w:left="357" w:hanging="357"/>
        <w:contextualSpacing w:val="0"/>
      </w:pPr>
      <w:r w:rsidRPr="007E08F7">
        <w:t xml:space="preserve">rozwijanie modelowych w skali Regionu Morza Bałtyckiego rozwiązań w zakresie bezpieczeństwa i odporności oraz dbałości o zachowanie jakości środowiska naturalnego i równowagę ekosystemów. </w:t>
      </w:r>
    </w:p>
    <w:p w14:paraId="7F42A1A9" w14:textId="1F0A80B8" w:rsidR="00BF1650" w:rsidRPr="007E08F7" w:rsidRDefault="00111ED3" w:rsidP="00E23359">
      <w:pPr>
        <w:spacing w:before="120" w:after="120" w:line="288" w:lineRule="auto"/>
        <w:rPr>
          <w:rFonts w:eastAsia="Aptos" w:cs="Times New Roman"/>
          <w:kern w:val="0"/>
          <w14:ligatures w14:val="none"/>
        </w:rPr>
      </w:pPr>
      <w:r w:rsidRPr="007E08F7">
        <w:rPr>
          <w:rFonts w:eastAsia="Aptos" w:cs="Times New Roman"/>
          <w:kern w:val="0"/>
          <w14:ligatures w14:val="none"/>
        </w:rPr>
        <w:t xml:space="preserve">Cel horyzontalny </w:t>
      </w:r>
      <w:r w:rsidR="0052432D" w:rsidRPr="007E08F7">
        <w:rPr>
          <w:rFonts w:eastAsia="Aptos" w:cs="Times New Roman"/>
          <w:kern w:val="0"/>
          <w14:ligatures w14:val="none"/>
        </w:rPr>
        <w:t>stanowi wspólny mianownik</w:t>
      </w:r>
      <w:r w:rsidR="000B5CB4" w:rsidRPr="007E08F7">
        <w:rPr>
          <w:rFonts w:eastAsia="Aptos" w:cs="Times New Roman"/>
          <w:kern w:val="0"/>
          <w14:ligatures w14:val="none"/>
        </w:rPr>
        <w:t>,</w:t>
      </w:r>
      <w:r w:rsidR="00112DE5" w:rsidRPr="007E08F7">
        <w:rPr>
          <w:rFonts w:eastAsia="Aptos" w:cs="Times New Roman"/>
          <w:kern w:val="0"/>
          <w14:ligatures w14:val="none"/>
        </w:rPr>
        <w:t xml:space="preserve"> </w:t>
      </w:r>
      <w:r w:rsidRPr="007E08F7">
        <w:rPr>
          <w:rFonts w:eastAsia="Aptos" w:cs="Times New Roman"/>
          <w:kern w:val="0"/>
          <w14:ligatures w14:val="none"/>
        </w:rPr>
        <w:t>przekrojowo integruj</w:t>
      </w:r>
      <w:r w:rsidR="000B5CB4" w:rsidRPr="007E08F7">
        <w:rPr>
          <w:rFonts w:eastAsia="Aptos" w:cs="Times New Roman"/>
          <w:kern w:val="0"/>
          <w14:ligatures w14:val="none"/>
        </w:rPr>
        <w:t>ący</w:t>
      </w:r>
      <w:r w:rsidRPr="007E08F7">
        <w:rPr>
          <w:rFonts w:eastAsia="Aptos" w:cs="Times New Roman"/>
          <w:kern w:val="0"/>
          <w14:ligatures w14:val="none"/>
        </w:rPr>
        <w:t xml:space="preserve"> w</w:t>
      </w:r>
      <w:r w:rsidR="00D40F4A" w:rsidRPr="007E08F7">
        <w:rPr>
          <w:rFonts w:eastAsia="Aptos" w:cs="Times New Roman"/>
          <w:kern w:val="0"/>
          <w14:ligatures w14:val="none"/>
        </w:rPr>
        <w:t xml:space="preserve">szystkie </w:t>
      </w:r>
      <w:r w:rsidR="00D40F4A" w:rsidRPr="007E08F7">
        <w:rPr>
          <w:rFonts w:eastAsia="Aptos" w:cs="Times New Roman"/>
          <w:b/>
          <w:bCs/>
          <w:kern w:val="0"/>
          <w14:ligatures w14:val="none"/>
        </w:rPr>
        <w:t>cele strategiczne (CS)</w:t>
      </w:r>
      <w:r w:rsidR="0052432D" w:rsidRPr="007E08F7">
        <w:rPr>
          <w:rFonts w:eastAsia="Aptos" w:cs="Times New Roman"/>
          <w:kern w:val="0"/>
          <w14:ligatures w14:val="none"/>
        </w:rPr>
        <w:t xml:space="preserve">, </w:t>
      </w:r>
      <w:r w:rsidR="00D40F4A" w:rsidRPr="007E08F7">
        <w:rPr>
          <w:rFonts w:eastAsia="Aptos" w:cs="Times New Roman"/>
          <w:kern w:val="0"/>
          <w14:ligatures w14:val="none"/>
        </w:rPr>
        <w:t xml:space="preserve">uszczegółowione przez </w:t>
      </w:r>
      <w:r w:rsidR="00D40F4A" w:rsidRPr="007E08F7">
        <w:rPr>
          <w:rFonts w:eastAsia="Aptos" w:cs="Times New Roman"/>
          <w:b/>
          <w:bCs/>
          <w:kern w:val="0"/>
          <w14:ligatures w14:val="none"/>
        </w:rPr>
        <w:t>cele operacyjne (CO)</w:t>
      </w:r>
      <w:r w:rsidR="00D40F4A" w:rsidRPr="007E08F7">
        <w:rPr>
          <w:rFonts w:eastAsia="Aptos" w:cs="Times New Roman"/>
          <w:kern w:val="0"/>
          <w14:ligatures w14:val="none"/>
        </w:rPr>
        <w:t>.</w:t>
      </w:r>
    </w:p>
    <w:p w14:paraId="02AD6F82" w14:textId="77777777" w:rsidR="00BF1650" w:rsidRPr="007E08F7" w:rsidRDefault="00BF1650">
      <w:pPr>
        <w:rPr>
          <w:rFonts w:eastAsia="Aptos" w:cs="Times New Roman"/>
          <w:kern w:val="0"/>
          <w14:ligatures w14:val="none"/>
        </w:rPr>
      </w:pPr>
      <w:r w:rsidRPr="007E08F7">
        <w:rPr>
          <w:rFonts w:eastAsia="Aptos" w:cs="Times New Roman"/>
          <w:kern w:val="0"/>
          <w14:ligatures w14:val="none"/>
        </w:rPr>
        <w:br w:type="page"/>
      </w:r>
    </w:p>
    <w:p w14:paraId="38CC4637" w14:textId="6F2382DE" w:rsidR="00696881" w:rsidRPr="007E08F7" w:rsidRDefault="00696881" w:rsidP="00B3693D">
      <w:r w:rsidRPr="007E08F7">
        <w:lastRenderedPageBreak/>
        <w:t xml:space="preserve">Tabela 2. </w:t>
      </w:r>
      <w:r w:rsidR="0024158D" w:rsidRPr="007E08F7">
        <w:t xml:space="preserve">Cel horyzontalny, cele strategiczne i operacyjne SRWP 2035 </w:t>
      </w:r>
    </w:p>
    <w:tbl>
      <w:tblPr>
        <w:tblStyle w:val="Tabela-Siatka"/>
        <w:tblW w:w="5000" w:type="pct"/>
        <w:jc w:val="center"/>
        <w:tblLook w:val="04A0" w:firstRow="1" w:lastRow="0" w:firstColumn="1" w:lastColumn="0" w:noHBand="0" w:noVBand="1"/>
        <w:tblCaption w:val="Tabela 2. Układ celów SRWP 2035"/>
      </w:tblPr>
      <w:tblGrid>
        <w:gridCol w:w="4528"/>
        <w:gridCol w:w="4528"/>
      </w:tblGrid>
      <w:tr w:rsidR="00D302E7" w:rsidRPr="007E08F7" w14:paraId="0D846D62" w14:textId="77777777" w:rsidTr="000451D3">
        <w:trPr>
          <w:trHeight w:val="564"/>
          <w:tblHeader/>
          <w:jc w:val="center"/>
        </w:trPr>
        <w:tc>
          <w:tcPr>
            <w:tcW w:w="5000" w:type="pct"/>
            <w:gridSpan w:val="2"/>
            <w:tcBorders>
              <w:top w:val="single" w:sz="6" w:space="0" w:color="auto"/>
              <w:left w:val="single" w:sz="6" w:space="0" w:color="auto"/>
              <w:bottom w:val="nil"/>
              <w:right w:val="single" w:sz="6" w:space="0" w:color="auto"/>
            </w:tcBorders>
            <w:shd w:val="clear" w:color="auto" w:fill="F2F2F2" w:themeFill="background1" w:themeFillShade="F2"/>
          </w:tcPr>
          <w:p w14:paraId="3C8AC230" w14:textId="77777777" w:rsidR="00D302E7" w:rsidRPr="007E08F7" w:rsidRDefault="00D302E7" w:rsidP="00D302E7">
            <w:pPr>
              <w:spacing w:before="120" w:after="120" w:line="288" w:lineRule="auto"/>
              <w:jc w:val="center"/>
              <w:rPr>
                <w:b/>
                <w:bCs/>
                <w:sz w:val="32"/>
                <w:szCs w:val="32"/>
              </w:rPr>
            </w:pPr>
            <w:r w:rsidRPr="007E08F7">
              <w:rPr>
                <w:b/>
                <w:bCs/>
                <w:sz w:val="32"/>
                <w:szCs w:val="32"/>
              </w:rPr>
              <w:t>Cel horyzontalny</w:t>
            </w:r>
          </w:p>
          <w:p w14:paraId="514635A2" w14:textId="3B1B2340" w:rsidR="00D302E7" w:rsidRPr="007E08F7" w:rsidRDefault="000451D3" w:rsidP="00D302E7">
            <w:pPr>
              <w:spacing w:before="120" w:after="120" w:line="288" w:lineRule="auto"/>
              <w:jc w:val="center"/>
              <w:rPr>
                <w:b/>
                <w:bCs/>
                <w:sz w:val="28"/>
                <w:szCs w:val="28"/>
              </w:rPr>
            </w:pPr>
            <w:r w:rsidRPr="007E08F7">
              <w:rPr>
                <w:b/>
                <w:bCs/>
                <w:sz w:val="32"/>
                <w:szCs w:val="32"/>
              </w:rPr>
              <w:t>Wysoka jakość życia na Pomorzu</w:t>
            </w:r>
          </w:p>
        </w:tc>
      </w:tr>
      <w:tr w:rsidR="00E37CC2" w:rsidRPr="007E08F7" w14:paraId="2C4F9E44" w14:textId="77777777" w:rsidTr="000451D3">
        <w:trPr>
          <w:trHeight w:val="564"/>
          <w:jc w:val="center"/>
        </w:trPr>
        <w:tc>
          <w:tcPr>
            <w:tcW w:w="2500" w:type="pct"/>
            <w:tcBorders>
              <w:top w:val="nil"/>
              <w:left w:val="single" w:sz="6" w:space="0" w:color="auto"/>
              <w:bottom w:val="single" w:sz="6" w:space="0" w:color="auto"/>
              <w:right w:val="single" w:sz="6" w:space="0" w:color="FFFFFF" w:themeColor="background1"/>
            </w:tcBorders>
            <w:shd w:val="clear" w:color="auto" w:fill="153D63" w:themeFill="text2" w:themeFillTint="E6"/>
          </w:tcPr>
          <w:p w14:paraId="5D63E59F" w14:textId="77777777" w:rsidR="003B3DE5" w:rsidRPr="007E08F7" w:rsidRDefault="00E37CC2" w:rsidP="00ED0FA7">
            <w:pPr>
              <w:spacing w:before="120" w:after="120" w:line="288" w:lineRule="auto"/>
              <w:jc w:val="center"/>
              <w:rPr>
                <w:b/>
                <w:bCs/>
                <w:color w:val="FFFFFF" w:themeColor="background1"/>
                <w:sz w:val="28"/>
                <w:szCs w:val="28"/>
              </w:rPr>
            </w:pPr>
            <w:r w:rsidRPr="007E08F7">
              <w:rPr>
                <w:b/>
                <w:bCs/>
                <w:color w:val="FFFFFF" w:themeColor="background1"/>
                <w:sz w:val="28"/>
                <w:szCs w:val="28"/>
              </w:rPr>
              <w:t>Cel Strategiczny 1.</w:t>
            </w:r>
          </w:p>
          <w:p w14:paraId="0805A4E7" w14:textId="5C6CDE86" w:rsidR="00E37CC2" w:rsidRPr="007E08F7" w:rsidRDefault="003B3DE5" w:rsidP="00ED0FA7">
            <w:pPr>
              <w:spacing w:before="120" w:after="120" w:line="288" w:lineRule="auto"/>
              <w:jc w:val="center"/>
              <w:rPr>
                <w:b/>
                <w:bCs/>
                <w:color w:val="FFFFFF" w:themeColor="background1"/>
                <w:sz w:val="28"/>
                <w:szCs w:val="28"/>
              </w:rPr>
            </w:pPr>
            <w:r w:rsidRPr="007E08F7">
              <w:rPr>
                <w:b/>
                <w:bCs/>
                <w:color w:val="FFFFFF" w:themeColor="background1"/>
                <w:sz w:val="28"/>
                <w:szCs w:val="28"/>
              </w:rPr>
              <w:t>Pomorska gospodarka wartości</w:t>
            </w:r>
          </w:p>
        </w:tc>
        <w:tc>
          <w:tcPr>
            <w:tcW w:w="2500" w:type="pct"/>
            <w:tcBorders>
              <w:top w:val="nil"/>
              <w:left w:val="single" w:sz="6" w:space="0" w:color="FFFFFF" w:themeColor="background1"/>
              <w:bottom w:val="single" w:sz="6" w:space="0" w:color="auto"/>
              <w:right w:val="single" w:sz="6" w:space="0" w:color="auto"/>
            </w:tcBorders>
            <w:shd w:val="clear" w:color="auto" w:fill="153D63" w:themeFill="text2" w:themeFillTint="E6"/>
          </w:tcPr>
          <w:p w14:paraId="70469BE5" w14:textId="5FD79467" w:rsidR="003B3DE5" w:rsidRPr="007E08F7" w:rsidRDefault="00E37CC2" w:rsidP="00147EAB">
            <w:pPr>
              <w:spacing w:before="120" w:after="120" w:line="288" w:lineRule="auto"/>
              <w:jc w:val="center"/>
              <w:rPr>
                <w:b/>
                <w:bCs/>
                <w:color w:val="FFFFFF" w:themeColor="background1"/>
                <w:sz w:val="28"/>
                <w:szCs w:val="28"/>
              </w:rPr>
            </w:pPr>
            <w:r w:rsidRPr="007E08F7">
              <w:rPr>
                <w:b/>
                <w:bCs/>
                <w:color w:val="FFFFFF" w:themeColor="background1"/>
                <w:sz w:val="28"/>
                <w:szCs w:val="28"/>
              </w:rPr>
              <w:t>Cel Strategiczny 2.</w:t>
            </w:r>
            <w:r w:rsidR="00ED0FA7" w:rsidRPr="007E08F7">
              <w:rPr>
                <w:b/>
                <w:bCs/>
                <w:color w:val="FFFFFF" w:themeColor="background1"/>
                <w:sz w:val="28"/>
                <w:szCs w:val="28"/>
              </w:rPr>
              <w:t xml:space="preserve"> </w:t>
            </w:r>
          </w:p>
          <w:p w14:paraId="52FF6EEF" w14:textId="57A1ABBF" w:rsidR="00E37CC2" w:rsidRPr="007E08F7" w:rsidRDefault="003B3DE5" w:rsidP="00147EAB">
            <w:pPr>
              <w:spacing w:before="120" w:after="120" w:line="288" w:lineRule="auto"/>
              <w:jc w:val="center"/>
              <w:rPr>
                <w:b/>
                <w:bCs/>
                <w:color w:val="FFFFFF" w:themeColor="background1"/>
                <w:sz w:val="28"/>
                <w:szCs w:val="28"/>
              </w:rPr>
            </w:pPr>
            <w:r w:rsidRPr="007E08F7">
              <w:rPr>
                <w:b/>
                <w:bCs/>
                <w:color w:val="FFFFFF" w:themeColor="background1"/>
                <w:sz w:val="28"/>
                <w:szCs w:val="28"/>
              </w:rPr>
              <w:t>Pomorze odporne</w:t>
            </w:r>
            <w:r w:rsidR="00147EAB" w:rsidRPr="007E08F7">
              <w:rPr>
                <w:b/>
                <w:bCs/>
                <w:color w:val="FFFFFF" w:themeColor="background1"/>
                <w:sz w:val="28"/>
                <w:szCs w:val="28"/>
              </w:rPr>
              <w:t xml:space="preserve"> </w:t>
            </w:r>
            <w:r w:rsidRPr="007E08F7">
              <w:rPr>
                <w:b/>
                <w:bCs/>
                <w:color w:val="FFFFFF" w:themeColor="background1"/>
                <w:sz w:val="28"/>
                <w:szCs w:val="28"/>
              </w:rPr>
              <w:t>i</w:t>
            </w:r>
            <w:r w:rsidR="00147EAB" w:rsidRPr="007E08F7">
              <w:rPr>
                <w:b/>
                <w:bCs/>
                <w:color w:val="FFFFFF" w:themeColor="background1"/>
                <w:sz w:val="28"/>
                <w:szCs w:val="28"/>
              </w:rPr>
              <w:t> </w:t>
            </w:r>
            <w:r w:rsidRPr="007E08F7">
              <w:rPr>
                <w:b/>
                <w:bCs/>
                <w:color w:val="FFFFFF" w:themeColor="background1"/>
                <w:sz w:val="28"/>
                <w:szCs w:val="28"/>
              </w:rPr>
              <w:t>bezpieczne</w:t>
            </w:r>
          </w:p>
        </w:tc>
      </w:tr>
      <w:tr w:rsidR="00E37CC2" w:rsidRPr="007E08F7" w14:paraId="5DB92878" w14:textId="77777777" w:rsidTr="000451D3">
        <w:trPr>
          <w:trHeight w:val="1760"/>
          <w:jc w:val="center"/>
        </w:trPr>
        <w:tc>
          <w:tcPr>
            <w:tcW w:w="2500" w:type="pct"/>
            <w:tcBorders>
              <w:top w:val="single" w:sz="6" w:space="0" w:color="auto"/>
            </w:tcBorders>
            <w:shd w:val="clear" w:color="auto" w:fill="FFFFFF" w:themeFill="background1"/>
          </w:tcPr>
          <w:p w14:paraId="098133F7" w14:textId="77777777" w:rsidR="003A29FC" w:rsidRPr="007E08F7" w:rsidRDefault="003A29FC" w:rsidP="003A29FC">
            <w:pPr>
              <w:spacing w:before="120" w:after="120" w:line="288" w:lineRule="auto"/>
            </w:pPr>
            <w:r w:rsidRPr="007E08F7">
              <w:t>CO 1.1. Nowe ścieżki wzrostu</w:t>
            </w:r>
          </w:p>
          <w:p w14:paraId="3CB33750" w14:textId="77777777" w:rsidR="003A29FC" w:rsidRPr="007E08F7" w:rsidRDefault="003A29FC" w:rsidP="003A29FC">
            <w:pPr>
              <w:spacing w:before="120" w:after="120" w:line="288" w:lineRule="auto"/>
            </w:pPr>
            <w:r w:rsidRPr="007E08F7">
              <w:t>CO 1.2. Unikalne potencjały wzrostu</w:t>
            </w:r>
          </w:p>
          <w:p w14:paraId="425DD4D3" w14:textId="77777777" w:rsidR="003A29FC" w:rsidRPr="007E08F7" w:rsidRDefault="003A29FC" w:rsidP="003A29FC">
            <w:pPr>
              <w:spacing w:before="120" w:after="120" w:line="288" w:lineRule="auto"/>
            </w:pPr>
            <w:r w:rsidRPr="007E08F7">
              <w:t xml:space="preserve">CO 1.3. Energia dla wzrostu </w:t>
            </w:r>
          </w:p>
          <w:p w14:paraId="5D1FF3AD" w14:textId="24BA778C" w:rsidR="00E37CC2" w:rsidRPr="007E08F7" w:rsidRDefault="003A29FC" w:rsidP="003A29FC">
            <w:pPr>
              <w:spacing w:before="120" w:after="120" w:line="288" w:lineRule="auto"/>
            </w:pPr>
            <w:r w:rsidRPr="007E08F7">
              <w:t>CO 1.4. Kadry dla gospodarki</w:t>
            </w:r>
          </w:p>
        </w:tc>
        <w:tc>
          <w:tcPr>
            <w:tcW w:w="2500" w:type="pct"/>
            <w:tcBorders>
              <w:top w:val="single" w:sz="6" w:space="0" w:color="auto"/>
            </w:tcBorders>
            <w:shd w:val="clear" w:color="auto" w:fill="FFFFFF" w:themeFill="background1"/>
          </w:tcPr>
          <w:p w14:paraId="2DD42D62" w14:textId="0D01520C" w:rsidR="00E37CC2" w:rsidRPr="007E08F7" w:rsidRDefault="00E37CC2" w:rsidP="00711038">
            <w:pPr>
              <w:spacing w:before="120" w:after="120" w:line="288" w:lineRule="auto"/>
            </w:pPr>
            <w:r w:rsidRPr="007E08F7">
              <w:t>CO 2.1. Gotowość cywilna</w:t>
            </w:r>
          </w:p>
          <w:p w14:paraId="3FDDD3E8" w14:textId="0DEDE798" w:rsidR="00E37CC2" w:rsidRPr="007E08F7" w:rsidRDefault="00E37CC2" w:rsidP="00711038">
            <w:pPr>
              <w:spacing w:before="120" w:after="120" w:line="288" w:lineRule="auto"/>
            </w:pPr>
            <w:r w:rsidRPr="007E08F7">
              <w:t xml:space="preserve">CO 2.2. </w:t>
            </w:r>
            <w:proofErr w:type="spellStart"/>
            <w:r w:rsidRPr="007E08F7">
              <w:t>Cyberbezpie</w:t>
            </w:r>
            <w:r w:rsidR="00AE084E" w:rsidRPr="007E08F7">
              <w:t>czeństwo</w:t>
            </w:r>
            <w:proofErr w:type="spellEnd"/>
          </w:p>
          <w:p w14:paraId="3C1733D0" w14:textId="2A8A0C29" w:rsidR="00E37CC2" w:rsidRPr="007E08F7" w:rsidRDefault="00E37CC2" w:rsidP="00711038">
            <w:pPr>
              <w:spacing w:before="120" w:after="120" w:line="288" w:lineRule="auto"/>
            </w:pPr>
            <w:r w:rsidRPr="007E08F7">
              <w:t>CO 2.3. Adaptacja do zmian klimatu</w:t>
            </w:r>
          </w:p>
          <w:p w14:paraId="612B85CE" w14:textId="13217A61" w:rsidR="00E37CC2" w:rsidRPr="007E08F7" w:rsidRDefault="00E37CC2" w:rsidP="00711038">
            <w:pPr>
              <w:spacing w:before="120" w:after="120" w:line="288" w:lineRule="auto"/>
              <w:ind w:left="322" w:hanging="322"/>
            </w:pPr>
            <w:r w:rsidRPr="007E08F7">
              <w:t>CO 2.4. Kapitał społeczny</w:t>
            </w:r>
          </w:p>
        </w:tc>
      </w:tr>
      <w:tr w:rsidR="00E37CC2" w:rsidRPr="007E08F7" w14:paraId="31C7DADD" w14:textId="77777777" w:rsidTr="00D302E7">
        <w:trPr>
          <w:trHeight w:val="1296"/>
          <w:jc w:val="center"/>
        </w:trPr>
        <w:tc>
          <w:tcPr>
            <w:tcW w:w="2500" w:type="pct"/>
            <w:tcBorders>
              <w:top w:val="single" w:sz="4" w:space="0" w:color="auto"/>
              <w:left w:val="single" w:sz="4" w:space="0" w:color="auto"/>
              <w:bottom w:val="single" w:sz="4" w:space="0" w:color="auto"/>
              <w:right w:val="single" w:sz="4" w:space="0" w:color="FFFFFF" w:themeColor="background1"/>
            </w:tcBorders>
            <w:shd w:val="clear" w:color="auto" w:fill="153D63" w:themeFill="text2" w:themeFillTint="E6"/>
          </w:tcPr>
          <w:p w14:paraId="6509AE3B" w14:textId="77777777" w:rsidR="000451D3" w:rsidRPr="007E08F7" w:rsidRDefault="00173306" w:rsidP="00ED0FA7">
            <w:pPr>
              <w:spacing w:before="120" w:after="120" w:line="288" w:lineRule="auto"/>
              <w:jc w:val="center"/>
              <w:rPr>
                <w:b/>
                <w:bCs/>
                <w:color w:val="FFFFFF" w:themeColor="background1"/>
                <w:sz w:val="28"/>
                <w:szCs w:val="28"/>
              </w:rPr>
            </w:pPr>
            <w:r w:rsidRPr="007E08F7">
              <w:rPr>
                <w:b/>
                <w:bCs/>
                <w:color w:val="FFFFFF" w:themeColor="background1"/>
                <w:sz w:val="28"/>
                <w:szCs w:val="28"/>
              </w:rPr>
              <w:t>Cel Strategiczny 3.</w:t>
            </w:r>
          </w:p>
          <w:p w14:paraId="7FA39497" w14:textId="3F6DFD74" w:rsidR="007D3B93" w:rsidRPr="007E08F7" w:rsidRDefault="003B3DE5" w:rsidP="00ED0FA7">
            <w:pPr>
              <w:spacing w:before="120" w:after="120" w:line="288" w:lineRule="auto"/>
              <w:jc w:val="center"/>
              <w:rPr>
                <w:b/>
                <w:bCs/>
                <w:color w:val="FFFFFF" w:themeColor="background1"/>
                <w:sz w:val="28"/>
                <w:szCs w:val="28"/>
              </w:rPr>
            </w:pPr>
            <w:r w:rsidRPr="007E08F7">
              <w:rPr>
                <w:b/>
                <w:bCs/>
                <w:color w:val="FFFFFF" w:themeColor="background1"/>
                <w:sz w:val="28"/>
                <w:szCs w:val="28"/>
              </w:rPr>
              <w:t>Wieloośrodkowe</w:t>
            </w:r>
            <w:r w:rsidR="000451D3" w:rsidRPr="007E08F7">
              <w:rPr>
                <w:b/>
                <w:bCs/>
                <w:color w:val="FFFFFF" w:themeColor="background1"/>
                <w:sz w:val="28"/>
                <w:szCs w:val="28"/>
              </w:rPr>
              <w:t xml:space="preserve"> P</w:t>
            </w:r>
            <w:r w:rsidRPr="007E08F7">
              <w:rPr>
                <w:b/>
                <w:bCs/>
                <w:color w:val="FFFFFF" w:themeColor="background1"/>
                <w:sz w:val="28"/>
                <w:szCs w:val="28"/>
              </w:rPr>
              <w:t>omorze</w:t>
            </w:r>
          </w:p>
        </w:tc>
        <w:tc>
          <w:tcPr>
            <w:tcW w:w="2500" w:type="pct"/>
            <w:tcBorders>
              <w:left w:val="single" w:sz="4" w:space="0" w:color="FFFFFF" w:themeColor="background1"/>
            </w:tcBorders>
            <w:shd w:val="clear" w:color="auto" w:fill="153D63" w:themeFill="text2" w:themeFillTint="E6"/>
          </w:tcPr>
          <w:p w14:paraId="26F02C10" w14:textId="77777777" w:rsidR="000451D3" w:rsidRPr="007E08F7" w:rsidRDefault="00E37CC2" w:rsidP="00ED0FA7">
            <w:pPr>
              <w:spacing w:before="120" w:after="120" w:line="288" w:lineRule="auto"/>
              <w:jc w:val="center"/>
              <w:rPr>
                <w:b/>
                <w:bCs/>
                <w:color w:val="FFFFFF" w:themeColor="background1"/>
                <w:sz w:val="28"/>
                <w:szCs w:val="28"/>
              </w:rPr>
            </w:pPr>
            <w:r w:rsidRPr="007E08F7">
              <w:rPr>
                <w:b/>
                <w:bCs/>
                <w:color w:val="FFFFFF" w:themeColor="background1"/>
                <w:sz w:val="28"/>
                <w:szCs w:val="28"/>
              </w:rPr>
              <w:t>Cel Strategiczny 4.</w:t>
            </w:r>
          </w:p>
          <w:p w14:paraId="27F309B3" w14:textId="33824079" w:rsidR="00E37CC2" w:rsidRPr="007E08F7" w:rsidRDefault="003B3DE5" w:rsidP="00ED0FA7">
            <w:pPr>
              <w:spacing w:before="120" w:after="120" w:line="288" w:lineRule="auto"/>
              <w:jc w:val="center"/>
              <w:rPr>
                <w:b/>
                <w:bCs/>
                <w:color w:val="FFFFFF" w:themeColor="background1"/>
                <w:sz w:val="28"/>
                <w:szCs w:val="28"/>
              </w:rPr>
            </w:pPr>
            <w:r w:rsidRPr="007E08F7">
              <w:rPr>
                <w:b/>
                <w:bCs/>
                <w:color w:val="FFFFFF" w:themeColor="background1"/>
                <w:sz w:val="28"/>
                <w:szCs w:val="28"/>
              </w:rPr>
              <w:t>Pomorze stabilne demograficznie</w:t>
            </w:r>
          </w:p>
        </w:tc>
      </w:tr>
      <w:tr w:rsidR="00E37CC2" w:rsidRPr="007E08F7" w14:paraId="1C2E273A" w14:textId="77777777" w:rsidTr="00D302E7">
        <w:trPr>
          <w:trHeight w:val="1472"/>
          <w:jc w:val="center"/>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242B06" w14:textId="6E786193" w:rsidR="00E37CC2" w:rsidRPr="007E08F7" w:rsidRDefault="00E37CC2" w:rsidP="00EC59A3">
            <w:pPr>
              <w:spacing w:before="120" w:after="120" w:line="288" w:lineRule="auto"/>
              <w:ind w:left="873" w:hanging="851"/>
            </w:pPr>
            <w:r w:rsidRPr="007E08F7">
              <w:t xml:space="preserve">CO 3.1. </w:t>
            </w:r>
            <w:r w:rsidR="00E42800" w:rsidRPr="007E08F7">
              <w:t>Mocna</w:t>
            </w:r>
            <w:r w:rsidRPr="007E08F7">
              <w:t xml:space="preserve"> marka </w:t>
            </w:r>
            <w:r w:rsidR="00E42800" w:rsidRPr="007E08F7">
              <w:t xml:space="preserve">obszaru </w:t>
            </w:r>
            <w:r w:rsidRPr="007E08F7">
              <w:t>metropoli</w:t>
            </w:r>
            <w:r w:rsidR="00E42800" w:rsidRPr="007E08F7">
              <w:t>talnego</w:t>
            </w:r>
          </w:p>
          <w:p w14:paraId="15935DBF" w14:textId="77777777" w:rsidR="00E37CC2" w:rsidRPr="007E08F7" w:rsidRDefault="00E37CC2" w:rsidP="00711038">
            <w:pPr>
              <w:spacing w:before="120" w:after="120" w:line="288" w:lineRule="auto"/>
            </w:pPr>
            <w:r w:rsidRPr="007E08F7">
              <w:t>CO 3.2. Nowoczesna lokalność</w:t>
            </w:r>
          </w:p>
          <w:p w14:paraId="518036B0" w14:textId="2D5E0FD6" w:rsidR="00E37CC2" w:rsidRPr="007E08F7" w:rsidRDefault="00E37CC2" w:rsidP="00711038">
            <w:pPr>
              <w:spacing w:before="120" w:after="120" w:line="288" w:lineRule="auto"/>
            </w:pPr>
            <w:r w:rsidRPr="007E08F7">
              <w:t xml:space="preserve">CO 3.3. </w:t>
            </w:r>
            <w:r w:rsidR="00E42800" w:rsidRPr="007E08F7">
              <w:t>Połączone</w:t>
            </w:r>
            <w:r w:rsidRPr="007E08F7">
              <w:t xml:space="preserve"> Pomorze</w:t>
            </w:r>
          </w:p>
          <w:p w14:paraId="3EBED0A9" w14:textId="407689C0" w:rsidR="00E37CC2" w:rsidRPr="007E08F7" w:rsidRDefault="00E37CC2" w:rsidP="00711038">
            <w:pPr>
              <w:spacing w:before="120" w:after="120" w:line="288" w:lineRule="auto"/>
            </w:pPr>
            <w:r w:rsidRPr="007E08F7">
              <w:t>CO 3.4. Przestrzeń dla społeczności</w:t>
            </w:r>
          </w:p>
        </w:tc>
        <w:tc>
          <w:tcPr>
            <w:tcW w:w="2500" w:type="pct"/>
            <w:tcBorders>
              <w:left w:val="single" w:sz="4" w:space="0" w:color="auto"/>
            </w:tcBorders>
            <w:shd w:val="clear" w:color="auto" w:fill="FFFFFF" w:themeFill="background1"/>
          </w:tcPr>
          <w:p w14:paraId="3957AB40" w14:textId="1636C5DF" w:rsidR="00E37CC2" w:rsidRPr="007E08F7" w:rsidRDefault="00E37CC2" w:rsidP="00EC59A3">
            <w:pPr>
              <w:spacing w:before="120" w:after="120" w:line="288" w:lineRule="auto"/>
              <w:ind w:left="889" w:hanging="851"/>
            </w:pPr>
            <w:r w:rsidRPr="007E08F7">
              <w:t xml:space="preserve">CO 4.1. </w:t>
            </w:r>
            <w:r w:rsidR="00E42800" w:rsidRPr="007E08F7">
              <w:t>Zdrowie i wsparcie blisko mieszkańca</w:t>
            </w:r>
          </w:p>
          <w:p w14:paraId="73519781" w14:textId="1ACA7264" w:rsidR="00E37CC2" w:rsidRPr="007E08F7" w:rsidRDefault="00E37CC2" w:rsidP="00711038">
            <w:pPr>
              <w:spacing w:before="120" w:after="120" w:line="288" w:lineRule="auto"/>
            </w:pPr>
            <w:r w:rsidRPr="007E08F7">
              <w:t xml:space="preserve">CO 4.2. Region </w:t>
            </w:r>
            <w:r w:rsidR="00E42800" w:rsidRPr="007E08F7">
              <w:t>atrakcyjny osiedleńczo</w:t>
            </w:r>
          </w:p>
        </w:tc>
      </w:tr>
    </w:tbl>
    <w:p w14:paraId="71CE9707" w14:textId="39D5B803" w:rsidR="00B911F1" w:rsidRPr="007E08F7" w:rsidRDefault="00711038" w:rsidP="00961233">
      <w:pPr>
        <w:rPr>
          <w:rFonts w:eastAsia="Aptos" w:cs="Times New Roman"/>
          <w:b/>
          <w:bCs/>
          <w:kern w:val="0"/>
          <w14:ligatures w14:val="none"/>
        </w:rPr>
      </w:pPr>
      <w:r w:rsidRPr="007E08F7">
        <w:rPr>
          <w:rFonts w:eastAsia="Aptos" w:cs="Times New Roman"/>
          <w:b/>
          <w:bCs/>
          <w:kern w:val="0"/>
          <w14:ligatures w14:val="none"/>
        </w:rPr>
        <w:br w:type="page"/>
      </w:r>
    </w:p>
    <w:p w14:paraId="7CA0A915" w14:textId="3254DF03" w:rsidR="00E15DD6" w:rsidRPr="007E08F7" w:rsidRDefault="00E15DD6" w:rsidP="002774ED">
      <w:pPr>
        <w:pStyle w:val="Nagwek2"/>
      </w:pPr>
      <w:bookmarkStart w:id="47" w:name="_Toc239772074"/>
      <w:r w:rsidRPr="007E08F7">
        <w:lastRenderedPageBreak/>
        <w:t xml:space="preserve">Cel strategiczny 1. </w:t>
      </w:r>
      <w:r w:rsidR="006A4A43" w:rsidRPr="007E08F7">
        <w:t>Pomorska gospodarka wartości</w:t>
      </w:r>
      <w:bookmarkEnd w:id="47"/>
    </w:p>
    <w:p w14:paraId="742D1902" w14:textId="66884A89" w:rsidR="001E19BB" w:rsidRPr="007E08F7" w:rsidRDefault="00E15DD6" w:rsidP="00886C1F">
      <w:pPr>
        <w:pStyle w:val="Nagwek3"/>
      </w:pPr>
      <w:bookmarkStart w:id="48" w:name="_Toc239772075"/>
      <w:r w:rsidRPr="007E08F7">
        <w:t xml:space="preserve">Przesłanki </w:t>
      </w:r>
      <w:r w:rsidR="001E19BB" w:rsidRPr="007E08F7">
        <w:t xml:space="preserve">realizacji Celu strategicznego </w:t>
      </w:r>
      <w:r w:rsidR="00EF7D8D" w:rsidRPr="007E08F7">
        <w:t>1.</w:t>
      </w:r>
      <w:bookmarkEnd w:id="48"/>
    </w:p>
    <w:p w14:paraId="6D8DDEBB" w14:textId="58DF1019" w:rsidR="00D309E7" w:rsidRPr="007E08F7" w:rsidRDefault="00D309E7" w:rsidP="00D309E7">
      <w:pPr>
        <w:spacing w:before="120" w:after="120" w:line="288" w:lineRule="auto"/>
        <w:rPr>
          <w:rFonts w:asciiTheme="minorHAnsi" w:eastAsia="Aptos" w:hAnsiTheme="minorHAnsi"/>
        </w:rPr>
      </w:pPr>
      <w:r w:rsidRPr="007E08F7">
        <w:rPr>
          <w:rFonts w:asciiTheme="minorHAnsi" w:eastAsia="Aptos" w:hAnsiTheme="minorHAnsi"/>
        </w:rPr>
        <w:t>Wzrost produktywności i wartości dodanej w obszarze gospodarki stanowi podstawę trwałego wzmacniania konkurencyjności regionu, tworzenia wysokiej jakości miejsc pracy oraz zwiększania atrakcyjności województwa dla mieszkańców, inwestorów i</w:t>
      </w:r>
      <w:r w:rsidR="0039302D" w:rsidRPr="007E08F7">
        <w:rPr>
          <w:rFonts w:asciiTheme="minorHAnsi" w:eastAsia="Aptos" w:hAnsiTheme="minorHAnsi"/>
        </w:rPr>
        <w:t> </w:t>
      </w:r>
      <w:r w:rsidRPr="007E08F7">
        <w:rPr>
          <w:rFonts w:asciiTheme="minorHAnsi" w:eastAsia="Aptos" w:hAnsiTheme="minorHAnsi"/>
        </w:rPr>
        <w:t>przedsiębiorców. Transformacja gospodarcza Pomorza uwzględniać musi budowę odporności i bezpieczeństwa, rozwijanie trwałych powiązań i sieci współpracy, inteligentne wykorzystanie zasobów, koncentrację na strategicznych sektorach i</w:t>
      </w:r>
      <w:r w:rsidR="0039302D" w:rsidRPr="007E08F7">
        <w:rPr>
          <w:rFonts w:asciiTheme="minorHAnsi" w:eastAsia="Aptos" w:hAnsiTheme="minorHAnsi"/>
        </w:rPr>
        <w:t> </w:t>
      </w:r>
      <w:r w:rsidRPr="007E08F7">
        <w:rPr>
          <w:rFonts w:asciiTheme="minorHAnsi" w:eastAsia="Aptos" w:hAnsiTheme="minorHAnsi"/>
        </w:rPr>
        <w:t>technologiach oraz rozwój przedsiębiorstw zdolnych do ekspansji i awansu w</w:t>
      </w:r>
      <w:r w:rsidR="0039302D" w:rsidRPr="007E08F7">
        <w:rPr>
          <w:rFonts w:asciiTheme="minorHAnsi" w:eastAsia="Aptos" w:hAnsiTheme="minorHAnsi"/>
        </w:rPr>
        <w:t> </w:t>
      </w:r>
      <w:r w:rsidRPr="007E08F7">
        <w:rPr>
          <w:rFonts w:asciiTheme="minorHAnsi" w:eastAsia="Aptos" w:hAnsiTheme="minorHAnsi"/>
        </w:rPr>
        <w:t>gospodarczych łańcuchach wartości. Procesy rozwoju gospodarczego Pomorza opierają się o wysokie kompetencje i kapitał wiedzy, walory lokalizacyjne oraz nowe moce wytwórcze w zakresie energetyki zeroemisyjnej, generowane przez elektrownię jądrową i morską energetykę wiatrową, których powstanie zmienia rozkład przestrzenny wytwarzania energii elektrycznej w Polsce.</w:t>
      </w:r>
    </w:p>
    <w:p w14:paraId="76A6949B" w14:textId="6B351683" w:rsidR="00D309E7" w:rsidRPr="007E08F7" w:rsidRDefault="00D309E7" w:rsidP="00D309E7">
      <w:pPr>
        <w:spacing w:before="120" w:after="120" w:line="288" w:lineRule="auto"/>
        <w:rPr>
          <w:rFonts w:asciiTheme="minorHAnsi" w:eastAsia="Aptos" w:hAnsiTheme="minorHAnsi"/>
        </w:rPr>
      </w:pPr>
      <w:r w:rsidRPr="007E08F7">
        <w:rPr>
          <w:rFonts w:asciiTheme="minorHAnsi" w:eastAsia="Aptos" w:hAnsiTheme="minorHAnsi"/>
        </w:rPr>
        <w:t>W warunkach dynamicznych zmian technologicznych oraz rosnącej konkurencji i</w:t>
      </w:r>
      <w:r w:rsidR="0039302D" w:rsidRPr="007E08F7">
        <w:rPr>
          <w:rFonts w:asciiTheme="minorHAnsi" w:eastAsia="Aptos" w:hAnsiTheme="minorHAnsi"/>
        </w:rPr>
        <w:t> </w:t>
      </w:r>
      <w:r w:rsidRPr="007E08F7">
        <w:rPr>
          <w:rFonts w:asciiTheme="minorHAnsi" w:eastAsia="Aptos" w:hAnsiTheme="minorHAnsi"/>
        </w:rPr>
        <w:t>nierównowagi w otoczeniu międzynarodowym, przewagi rozwojowe regionu budowane są przede wszystkim poprzez rozwój przedsiębiorstw zdolnych do tworzenia własnych produktów, usług i rozwiązań technologicznych oraz skutecznego wykorzystywania potencjału badawczego i innowacyjnego pomorskiego systemu współpracy gospodarki i</w:t>
      </w:r>
      <w:r w:rsidR="0039302D" w:rsidRPr="007E08F7">
        <w:rPr>
          <w:rFonts w:asciiTheme="minorHAnsi" w:eastAsia="Aptos" w:hAnsiTheme="minorHAnsi"/>
        </w:rPr>
        <w:t> </w:t>
      </w:r>
      <w:r w:rsidRPr="007E08F7">
        <w:rPr>
          <w:rFonts w:asciiTheme="minorHAnsi" w:eastAsia="Aptos" w:hAnsiTheme="minorHAnsi"/>
        </w:rPr>
        <w:t>nauki.</w:t>
      </w:r>
      <w:r w:rsidRPr="007E08F7">
        <w:rPr>
          <w:rFonts w:asciiTheme="minorHAnsi" w:hAnsiTheme="minorHAnsi"/>
        </w:rPr>
        <w:t xml:space="preserve"> </w:t>
      </w:r>
      <w:r w:rsidRPr="007E08F7">
        <w:rPr>
          <w:rFonts w:asciiTheme="minorHAnsi" w:eastAsia="Aptos" w:hAnsiTheme="minorHAnsi"/>
        </w:rPr>
        <w:t>Wzmacniana jest zdolność przedsiębiorstw do absorpcji i adaptacji szybko zmieniających się technologii</w:t>
      </w:r>
      <w:r w:rsidRPr="007E08F7">
        <w:t xml:space="preserve"> oraz </w:t>
      </w:r>
      <w:r w:rsidRPr="007E08F7">
        <w:rPr>
          <w:rFonts w:asciiTheme="minorHAnsi" w:eastAsia="Aptos" w:hAnsiTheme="minorHAnsi"/>
        </w:rPr>
        <w:t>transformacji cyfrowej. Rozwój przedsiębiorstw obejmuje także budowę odporności na kryzysy, zagrożenia oraz utrzymującą się niepewność i nieprzewidywalność procesów gospodarczych, a także zmniejszanie zależności pomiędzy wzrostem gospodarczym a wykorzystaniem zasobów. Kluczowe jest także wzmacnianie regionalnych przedsiębiorstw w osiąganiu pozycji rynkowych liderów (czempionów), których szybki wzrost i zdolność do międzynarodowej konkurencji napędza zmianę pozycji pomorskiej gospodarki.</w:t>
      </w:r>
    </w:p>
    <w:p w14:paraId="6F9FF511" w14:textId="6A924A9C" w:rsidR="00D309E7" w:rsidRPr="007E08F7" w:rsidRDefault="00D309E7" w:rsidP="00D309E7">
      <w:pPr>
        <w:spacing w:before="120" w:after="120" w:line="288" w:lineRule="auto"/>
        <w:rPr>
          <w:rFonts w:asciiTheme="minorHAnsi" w:eastAsia="Aptos" w:hAnsiTheme="minorHAnsi"/>
        </w:rPr>
      </w:pPr>
      <w:r w:rsidRPr="007E08F7">
        <w:rPr>
          <w:rFonts w:asciiTheme="minorHAnsi" w:eastAsia="Aptos" w:hAnsiTheme="minorHAnsi"/>
        </w:rPr>
        <w:t>Ważnym czynnikiem rozwojowym Pomorza są trwałe przewagi wynikające z</w:t>
      </w:r>
      <w:r w:rsidR="0039302D" w:rsidRPr="007E08F7">
        <w:rPr>
          <w:rFonts w:asciiTheme="minorHAnsi" w:eastAsia="Aptos" w:hAnsiTheme="minorHAnsi"/>
        </w:rPr>
        <w:t> </w:t>
      </w:r>
      <w:r w:rsidRPr="007E08F7">
        <w:rPr>
          <w:rFonts w:asciiTheme="minorHAnsi" w:eastAsia="Aptos" w:hAnsiTheme="minorHAnsi"/>
        </w:rPr>
        <w:t>nadmorskiego położenia, w oparciu</w:t>
      </w:r>
      <w:r w:rsidR="00B51534" w:rsidRPr="007E08F7">
        <w:rPr>
          <w:rFonts w:asciiTheme="minorHAnsi" w:eastAsia="Aptos" w:hAnsiTheme="minorHAnsi"/>
        </w:rPr>
        <w:t>,</w:t>
      </w:r>
      <w:r w:rsidRPr="007E08F7">
        <w:rPr>
          <w:rFonts w:asciiTheme="minorHAnsi" w:eastAsia="Aptos" w:hAnsiTheme="minorHAnsi"/>
        </w:rPr>
        <w:t xml:space="preserve"> o które budowany jest potencjał gospodarki morskiej, portów morskich, zaplecza logistycznego oraz rozwijających się funkcji przemysłowych. Wykorzystanie tych atutów sprzyja wzmacnianiu atrakcyjności inwestycyjnej i budowaniu pozycji eksportowej regionu, zwiększaniu powiązań pomiędzy strategicznymi inwestycjami i podmiotami gospodarczymi oraz budowaniu przewag rynkowych pozwalających na uzyskanie wysokomarżowego wzrostu. Jednocześnie, istotnym potencjałem pozostaje zrównoważone wykorzystanie zasobów naturalnych regionu, sprzyjające tworzeniu nowych, konkurencyjnych gałęzi niskoemisyjnego przemysłu oraz produktów i usług o wysokiej wartości dodanej. Istotnym elementem </w:t>
      </w:r>
      <w:r w:rsidRPr="007E08F7">
        <w:rPr>
          <w:rFonts w:asciiTheme="minorHAnsi" w:eastAsia="Aptos" w:hAnsiTheme="minorHAnsi"/>
        </w:rPr>
        <w:lastRenderedPageBreak/>
        <w:t>tworzenia wartości dodanej pomorskiej gospodarki jest turystyka, której produkty wzmacniają przewagi konkurencyjne, atrakcyjność i rozpoznawalność regionu.</w:t>
      </w:r>
    </w:p>
    <w:p w14:paraId="668989A1" w14:textId="0AD27CCD" w:rsidR="00D309E7" w:rsidRPr="007E08F7" w:rsidRDefault="00D309E7" w:rsidP="00D309E7">
      <w:pPr>
        <w:spacing w:before="120" w:after="120" w:line="288" w:lineRule="auto"/>
        <w:rPr>
          <w:rFonts w:asciiTheme="minorHAnsi" w:eastAsia="Aptos" w:hAnsiTheme="minorHAnsi"/>
        </w:rPr>
      </w:pPr>
      <w:r w:rsidRPr="007E08F7">
        <w:rPr>
          <w:rFonts w:asciiTheme="minorHAnsi" w:eastAsia="Aptos" w:hAnsiTheme="minorHAnsi"/>
        </w:rPr>
        <w:t>Transformacja energetyczna, związana ze zmianą przestrzennego układu wytwarzania energii w Polsce (przeniesienie środka ciężkości na północ kraju) stanie się jednym z</w:t>
      </w:r>
      <w:r w:rsidR="0039302D" w:rsidRPr="007E08F7">
        <w:rPr>
          <w:rFonts w:asciiTheme="minorHAnsi" w:eastAsia="Aptos" w:hAnsiTheme="minorHAnsi"/>
        </w:rPr>
        <w:t> </w:t>
      </w:r>
      <w:r w:rsidRPr="007E08F7">
        <w:rPr>
          <w:rFonts w:asciiTheme="minorHAnsi" w:eastAsia="Aptos" w:hAnsiTheme="minorHAnsi"/>
        </w:rPr>
        <w:t>najważniejszych czynników wzmacniających konkurencyjność gospodarki oraz bezpieczeństwo rozwoju województwa. Skala inwestycji związanych z zeroemisyjną energią, w tym energetyką jądrową i morską energetyką wiatrową oraz rozwojem nowoczesnej infrastruktury energetycznej, stworzy warunki do trwałej zmiany struktury gospodarczej regionu. Zmianom na mapie energetycznej Polski i Pomorza towarzyszyć będzie świadoma, skoordynowana i konsekwentna polityka pozyskiwania i lokowania inwestycji przemysłowych i technologicznych na terenach o optymalnych warunkach pod względem dostępu do źródeł energii, z uwzględnieniem innych kluczowych parametrów, takich jak dostęp do infrastruktury, zasobów pracy, czy minimalizowanie konfliktów środowiskowych i przestrzennych.</w:t>
      </w:r>
    </w:p>
    <w:p w14:paraId="4571DA74" w14:textId="794244BF" w:rsidR="00D309E7" w:rsidRPr="007E08F7" w:rsidRDefault="00D309E7" w:rsidP="00D309E7">
      <w:pPr>
        <w:spacing w:before="120" w:after="120" w:line="288" w:lineRule="auto"/>
        <w:rPr>
          <w:rFonts w:asciiTheme="minorHAnsi" w:eastAsia="Aptos" w:hAnsiTheme="minorHAnsi"/>
        </w:rPr>
      </w:pPr>
      <w:r w:rsidRPr="007E08F7">
        <w:rPr>
          <w:rFonts w:asciiTheme="minorHAnsi" w:eastAsia="Aptos" w:hAnsiTheme="minorHAnsi"/>
        </w:rPr>
        <w:t>Rozwój gospodarczy na Pomorzu wymagał będzie również zapewnienia kadr posiadających kompetencje odpowiadające zmieniającym się potrzebom gospodarki oraz rynku pracy. Rozwój kompetencji będzie opierał się na możliwie pełnym dostosowaniu oferty edukacyjnej (ponadpodstawowej, wyższej i ustawicznej) do potrzeb strategicznych sektorów i technologii. Nastąpi to w ścisłej współpracy wszystkich interesariuszy, przede wszystkim jednostek samorządu terytorialnego, szkół wyższych, pracodawców, instytucji rynku pracy oraz organizacji pozarządowych, prowadząc do</w:t>
      </w:r>
      <w:r w:rsidR="00886C1F" w:rsidRPr="007E08F7">
        <w:rPr>
          <w:rFonts w:asciiTheme="minorHAnsi" w:eastAsia="Aptos" w:hAnsiTheme="minorHAnsi"/>
        </w:rPr>
        <w:t> </w:t>
      </w:r>
      <w:r w:rsidRPr="007E08F7">
        <w:rPr>
          <w:rFonts w:asciiTheme="minorHAnsi" w:eastAsia="Aptos" w:hAnsiTheme="minorHAnsi"/>
        </w:rPr>
        <w:t xml:space="preserve">podnoszenia gospodarczej i edukacyjnej rozpoznawalności regionu oraz systemowego </w:t>
      </w:r>
      <w:r w:rsidR="000D6F34" w:rsidRPr="007E08F7">
        <w:rPr>
          <w:rFonts w:asciiTheme="minorHAnsi" w:eastAsia="Aptos" w:hAnsiTheme="minorHAnsi"/>
        </w:rPr>
        <w:t xml:space="preserve">przyciągania i </w:t>
      </w:r>
      <w:r w:rsidRPr="007E08F7">
        <w:rPr>
          <w:rFonts w:asciiTheme="minorHAnsi" w:eastAsia="Aptos" w:hAnsiTheme="minorHAnsi"/>
        </w:rPr>
        <w:t>rozwoju talentów.</w:t>
      </w:r>
    </w:p>
    <w:p w14:paraId="3BD65C5F" w14:textId="605139EC" w:rsidR="00D309E7" w:rsidRPr="007E08F7" w:rsidRDefault="00D309E7" w:rsidP="00886C1F">
      <w:pPr>
        <w:pStyle w:val="Nagwek3"/>
        <w:rPr>
          <w:rFonts w:eastAsia="Aptos"/>
        </w:rPr>
      </w:pPr>
      <w:bookmarkStart w:id="49" w:name="_Toc239772076"/>
      <w:r w:rsidRPr="007E08F7">
        <w:t>Pożądany kierunek zmian</w:t>
      </w:r>
      <w:r w:rsidR="00EF7D8D" w:rsidRPr="007E08F7">
        <w:t xml:space="preserve"> CS 1.</w:t>
      </w:r>
      <w:bookmarkEnd w:id="49"/>
    </w:p>
    <w:p w14:paraId="29A28640" w14:textId="77777777" w:rsidR="00D309E7" w:rsidRPr="007E08F7" w:rsidRDefault="00D309E7">
      <w:pPr>
        <w:numPr>
          <w:ilvl w:val="0"/>
          <w:numId w:val="22"/>
        </w:numPr>
        <w:spacing w:before="120" w:after="120" w:line="288" w:lineRule="auto"/>
        <w:ind w:left="426" w:hanging="426"/>
        <w:rPr>
          <w:rFonts w:asciiTheme="minorHAnsi" w:eastAsia="Aptos" w:hAnsiTheme="minorHAnsi"/>
        </w:rPr>
      </w:pPr>
      <w:r w:rsidRPr="007E08F7">
        <w:rPr>
          <w:rFonts w:asciiTheme="minorHAnsi" w:eastAsia="Aptos" w:hAnsiTheme="minorHAnsi"/>
        </w:rPr>
        <w:t>Trwałe przejście gospodarki regionu do modelu opartego na wzroście produktywności, wysokiej efektywności i adaptacyjności oraz powszechnym wdrażaniu innowacyjnych prac badawczo-rozwojowych i rozwiązań technologicznych.</w:t>
      </w:r>
    </w:p>
    <w:p w14:paraId="5B0501A4" w14:textId="77777777" w:rsidR="00D309E7" w:rsidRPr="007E08F7" w:rsidRDefault="00D309E7">
      <w:pPr>
        <w:numPr>
          <w:ilvl w:val="0"/>
          <w:numId w:val="22"/>
        </w:numPr>
        <w:spacing w:before="120" w:after="120" w:line="288" w:lineRule="auto"/>
        <w:ind w:left="426" w:hanging="426"/>
        <w:rPr>
          <w:rFonts w:asciiTheme="minorHAnsi" w:eastAsia="Aptos" w:hAnsiTheme="minorHAnsi"/>
        </w:rPr>
      </w:pPr>
      <w:r w:rsidRPr="007E08F7">
        <w:rPr>
          <w:rFonts w:asciiTheme="minorHAnsi" w:eastAsia="Aptos" w:hAnsiTheme="minorHAnsi"/>
        </w:rPr>
        <w:t>Ugruntowanie pozycji regionu, jako wiodącego w basenie Morza Bałtyckiego nowoczesnego węzła logistycznego, morskiego i przemysłowego o wysokiej konkurencyjności i odporności na zakłócenia globalne.</w:t>
      </w:r>
    </w:p>
    <w:p w14:paraId="181E6D49" w14:textId="77777777" w:rsidR="00C65D6A" w:rsidRPr="007E08F7" w:rsidRDefault="00D309E7">
      <w:pPr>
        <w:numPr>
          <w:ilvl w:val="0"/>
          <w:numId w:val="22"/>
        </w:numPr>
        <w:spacing w:before="120" w:after="120" w:line="288" w:lineRule="auto"/>
        <w:ind w:left="425" w:hanging="425"/>
        <w:rPr>
          <w:rFonts w:asciiTheme="minorHAnsi" w:eastAsia="Aptos" w:hAnsiTheme="minorHAnsi"/>
        </w:rPr>
      </w:pPr>
      <w:r w:rsidRPr="007E08F7">
        <w:rPr>
          <w:rFonts w:asciiTheme="minorHAnsi" w:eastAsia="Aptos" w:hAnsiTheme="minorHAnsi"/>
        </w:rPr>
        <w:t>Pełne wykorzystanie roli lidera transformacji energetycznej, zapewniającego stabilne dostawy czystej energii, jako trwałej przewagi konkurencyjnej pomorskiego przemysłu.</w:t>
      </w:r>
    </w:p>
    <w:p w14:paraId="6B235F1B" w14:textId="54D0B523" w:rsidR="003A29FC" w:rsidRPr="007E08F7" w:rsidRDefault="00D309E7">
      <w:pPr>
        <w:numPr>
          <w:ilvl w:val="0"/>
          <w:numId w:val="22"/>
        </w:numPr>
        <w:spacing w:before="120" w:after="120" w:line="288" w:lineRule="auto"/>
        <w:ind w:left="425" w:hanging="425"/>
        <w:rPr>
          <w:rFonts w:asciiTheme="minorHAnsi" w:eastAsia="Aptos" w:hAnsiTheme="minorHAnsi"/>
        </w:rPr>
      </w:pPr>
      <w:r w:rsidRPr="007E08F7">
        <w:rPr>
          <w:rFonts w:asciiTheme="minorHAnsi" w:eastAsia="Aptos" w:hAnsiTheme="minorHAnsi"/>
        </w:rPr>
        <w:t>Zapewnienie wykwalifikowanych kadr dla gospodarki regionu, w szczególności w</w:t>
      </w:r>
      <w:r w:rsidR="0039302D" w:rsidRPr="007E08F7">
        <w:rPr>
          <w:rFonts w:asciiTheme="minorHAnsi" w:eastAsia="Aptos" w:hAnsiTheme="minorHAnsi"/>
        </w:rPr>
        <w:t> </w:t>
      </w:r>
      <w:r w:rsidRPr="007E08F7">
        <w:rPr>
          <w:rFonts w:asciiTheme="minorHAnsi" w:eastAsia="Aptos" w:hAnsiTheme="minorHAnsi"/>
        </w:rPr>
        <w:t>obszarze strategicznych sektorów i technologii</w:t>
      </w:r>
      <w:r w:rsidR="003A29FC" w:rsidRPr="007E08F7">
        <w:rPr>
          <w:rFonts w:asciiTheme="minorHAnsi" w:eastAsia="Aptos" w:hAnsiTheme="minorHAnsi"/>
        </w:rPr>
        <w:t>.</w:t>
      </w:r>
      <w:r w:rsidR="003A29FC" w:rsidRPr="007E08F7">
        <w:rPr>
          <w:b/>
          <w:bCs/>
          <w:color w:val="215E99" w:themeColor="text2" w:themeTint="BF"/>
          <w:sz w:val="28"/>
          <w:szCs w:val="28"/>
        </w:rPr>
        <w:br w:type="page"/>
      </w:r>
    </w:p>
    <w:p w14:paraId="47047B01" w14:textId="77777777" w:rsidR="003A29FC" w:rsidRPr="007E08F7" w:rsidRDefault="003A29FC" w:rsidP="00886C1F">
      <w:pPr>
        <w:pStyle w:val="Nagwek3"/>
      </w:pPr>
      <w:bookmarkStart w:id="50" w:name="_Toc239772077"/>
      <w:r w:rsidRPr="007E08F7">
        <w:lastRenderedPageBreak/>
        <w:t>Cel operacyjny 1.1. Nowe ścieżki wzrostu</w:t>
      </w:r>
      <w:bookmarkEnd w:id="50"/>
    </w:p>
    <w:p w14:paraId="63FF1DE8" w14:textId="6B0FAFDA" w:rsidR="00C65D6A" w:rsidRPr="007E08F7" w:rsidRDefault="003A29FC" w:rsidP="00886C1F">
      <w:pPr>
        <w:pStyle w:val="Nagwek4"/>
        <w:rPr>
          <w:iCs w:val="0"/>
        </w:rPr>
      </w:pPr>
      <w:r w:rsidRPr="007E08F7">
        <w:rPr>
          <w:iCs w:val="0"/>
        </w:rPr>
        <w:t>Przesłanki realizacji Celu operacyjnego</w:t>
      </w:r>
      <w:r w:rsidR="00EF7D8D" w:rsidRPr="007E08F7">
        <w:rPr>
          <w:iCs w:val="0"/>
        </w:rPr>
        <w:t xml:space="preserve"> 1.1</w:t>
      </w:r>
    </w:p>
    <w:p w14:paraId="4D0889B8" w14:textId="202BD22E" w:rsidR="00FA1EAF" w:rsidRPr="007E08F7" w:rsidRDefault="00FA1EAF" w:rsidP="00FA1EAF">
      <w:pPr>
        <w:spacing w:before="120" w:after="120" w:line="288" w:lineRule="auto"/>
        <w:rPr>
          <w:rFonts w:asciiTheme="minorHAnsi" w:hAnsiTheme="minorHAnsi"/>
          <w:b/>
          <w:bCs/>
        </w:rPr>
      </w:pPr>
      <w:r w:rsidRPr="007E08F7">
        <w:rPr>
          <w:rFonts w:asciiTheme="minorHAnsi" w:eastAsia="Aptos" w:hAnsiTheme="minorHAnsi"/>
        </w:rPr>
        <w:t>Rozwój gospodarczy Pomorza wymaga zwiększania zdolności gospodarki regionalnej do tworzenia wysokiej wartości dodanej</w:t>
      </w:r>
      <w:r w:rsidR="000D6F34" w:rsidRPr="007E08F7">
        <w:rPr>
          <w:rFonts w:asciiTheme="minorHAnsi" w:eastAsia="Aptos" w:hAnsiTheme="minorHAnsi"/>
        </w:rPr>
        <w:t>,</w:t>
      </w:r>
      <w:r w:rsidRPr="007E08F7">
        <w:rPr>
          <w:rFonts w:asciiTheme="minorHAnsi" w:eastAsia="Aptos" w:hAnsiTheme="minorHAnsi"/>
        </w:rPr>
        <w:t xml:space="preserve"> poprzez wzrost produktywności, innowacyjności oraz wykorzystania wiedzy, kompetencji i nowych technologii.</w:t>
      </w:r>
    </w:p>
    <w:p w14:paraId="5B982385" w14:textId="6EE51DA8" w:rsidR="00FA1EAF" w:rsidRPr="007E08F7" w:rsidRDefault="00FA1EAF" w:rsidP="00FA1EAF">
      <w:pPr>
        <w:spacing w:before="120" w:after="120" w:line="288" w:lineRule="auto"/>
        <w:rPr>
          <w:rFonts w:asciiTheme="minorHAnsi" w:eastAsia="Aptos" w:hAnsiTheme="minorHAnsi"/>
        </w:rPr>
      </w:pPr>
      <w:r w:rsidRPr="007E08F7">
        <w:rPr>
          <w:rFonts w:asciiTheme="minorHAnsi" w:eastAsia="Aptos" w:hAnsiTheme="minorHAnsi"/>
        </w:rPr>
        <w:t>Kluczowe znaczenie ma wzmacnianie zdolności przedsiębiorstw do tworzenia i</w:t>
      </w:r>
      <w:r w:rsidR="0039302D" w:rsidRPr="007E08F7">
        <w:rPr>
          <w:rFonts w:asciiTheme="minorHAnsi" w:eastAsia="Aptos" w:hAnsiTheme="minorHAnsi"/>
        </w:rPr>
        <w:t> </w:t>
      </w:r>
      <w:r w:rsidRPr="007E08F7">
        <w:rPr>
          <w:rFonts w:asciiTheme="minorHAnsi" w:eastAsia="Aptos" w:hAnsiTheme="minorHAnsi"/>
        </w:rPr>
        <w:t>wdrażania innowacji, rozwijania działalności badawczo-rozwojowej, kreowania własnych produktów, usług i technologii, współpracy z sektorem nauki i szkolnictwa wyższego oraz budowania trwałych przewag konkurencyjnych, w szczególności w</w:t>
      </w:r>
      <w:r w:rsidR="0039302D" w:rsidRPr="007E08F7">
        <w:rPr>
          <w:rFonts w:asciiTheme="minorHAnsi" w:eastAsia="Aptos" w:hAnsiTheme="minorHAnsi"/>
        </w:rPr>
        <w:t> </w:t>
      </w:r>
      <w:r w:rsidRPr="007E08F7">
        <w:rPr>
          <w:rFonts w:asciiTheme="minorHAnsi" w:eastAsia="Aptos" w:hAnsiTheme="minorHAnsi"/>
        </w:rPr>
        <w:t>ramach strategicznych sektorów i technologii (w tym podwójnego zastosowania). Istotną rolę w tym procesie odgrywają uczelnie i instytucje otoczenia biznesu, wpływając na transfer wiedzy i innowacji do gospodarki oraz budując zdolności przedsiębiorstw do zmian i rozwoju. Powiązania te kształtują regionalny system kultury innowacji i przedsiębiorczości.</w:t>
      </w:r>
    </w:p>
    <w:p w14:paraId="769790B0" w14:textId="7D2B7656" w:rsidR="00FA1EAF" w:rsidRPr="007E08F7" w:rsidRDefault="00FA1EAF" w:rsidP="00FA1EAF">
      <w:pPr>
        <w:spacing w:before="120" w:after="120" w:line="288" w:lineRule="auto"/>
        <w:rPr>
          <w:rFonts w:asciiTheme="minorHAnsi" w:eastAsia="Aptos" w:hAnsiTheme="minorHAnsi"/>
        </w:rPr>
      </w:pPr>
      <w:r w:rsidRPr="007E08F7">
        <w:rPr>
          <w:rFonts w:asciiTheme="minorHAnsi" w:eastAsia="Aptos" w:hAnsiTheme="minorHAnsi"/>
        </w:rPr>
        <w:t>Cyfrowe zmiany technologiczne, automatyzacja, robotyzacja oraz sztuczna inteligencja zmieniają obraz funkcjonowania gospodarki, wymuszając na przedsiębiorstwach zmiany procesów, narzędzi i zarz</w:t>
      </w:r>
      <w:r w:rsidR="000D6F34" w:rsidRPr="007E08F7">
        <w:rPr>
          <w:rFonts w:asciiTheme="minorHAnsi" w:eastAsia="Aptos" w:hAnsiTheme="minorHAnsi"/>
        </w:rPr>
        <w:t>ą</w:t>
      </w:r>
      <w:r w:rsidRPr="007E08F7">
        <w:rPr>
          <w:rFonts w:asciiTheme="minorHAnsi" w:eastAsia="Aptos" w:hAnsiTheme="minorHAnsi"/>
        </w:rPr>
        <w:t>dzania. Rozwój przedsiębiorstw w wymiarze technologicznym podniesie ich efektywność biznesową, wzmocni konkurencyjność, będzie także odpowiedzią na nowe wyzwania rynkowe oraz negatywne zmiany demograficzne i</w:t>
      </w:r>
      <w:r w:rsidR="0039302D" w:rsidRPr="007E08F7">
        <w:rPr>
          <w:rFonts w:asciiTheme="minorHAnsi" w:eastAsia="Aptos" w:hAnsiTheme="minorHAnsi"/>
        </w:rPr>
        <w:t> </w:t>
      </w:r>
      <w:r w:rsidRPr="007E08F7">
        <w:rPr>
          <w:rFonts w:asciiTheme="minorHAnsi" w:eastAsia="Aptos" w:hAnsiTheme="minorHAnsi"/>
        </w:rPr>
        <w:t>środowiskowe.</w:t>
      </w:r>
    </w:p>
    <w:p w14:paraId="2F9694F1" w14:textId="2F6FC707" w:rsidR="00FA1EAF" w:rsidRPr="007E08F7" w:rsidRDefault="00FA1EAF" w:rsidP="00FA1EAF">
      <w:pPr>
        <w:spacing w:before="120" w:after="120" w:line="288" w:lineRule="auto"/>
        <w:rPr>
          <w:rFonts w:asciiTheme="minorHAnsi" w:eastAsia="Aptos" w:hAnsiTheme="minorHAnsi"/>
        </w:rPr>
      </w:pPr>
      <w:r w:rsidRPr="007E08F7">
        <w:rPr>
          <w:rFonts w:asciiTheme="minorHAnsi" w:eastAsia="Aptos" w:hAnsiTheme="minorHAnsi"/>
        </w:rPr>
        <w:t>Niepewne, ulegające dynamicznym przemianom otoczenie wzmacnia potrzebę budowania wysokiej odporności przedsiębiorstw na zmiany warunków rynkowych</w:t>
      </w:r>
      <w:r w:rsidR="000D6F34" w:rsidRPr="007E08F7">
        <w:rPr>
          <w:rFonts w:asciiTheme="minorHAnsi" w:eastAsia="Aptos" w:hAnsiTheme="minorHAnsi"/>
        </w:rPr>
        <w:t xml:space="preserve"> i</w:t>
      </w:r>
      <w:r w:rsidR="0039302D" w:rsidRPr="007E08F7">
        <w:rPr>
          <w:rFonts w:asciiTheme="minorHAnsi" w:eastAsia="Aptos" w:hAnsiTheme="minorHAnsi"/>
        </w:rPr>
        <w:t> </w:t>
      </w:r>
      <w:r w:rsidRPr="007E08F7">
        <w:rPr>
          <w:rFonts w:asciiTheme="minorHAnsi" w:eastAsia="Aptos" w:hAnsiTheme="minorHAnsi"/>
        </w:rPr>
        <w:t>sytuacje kryzysowe. Adaptacja do wyzwań wynikających ze zmiennych warunków ma zapewniać przedsiębiorstwom możliwość utrzymania ciągłości działania</w:t>
      </w:r>
      <w:r w:rsidR="000D6F34" w:rsidRPr="007E08F7">
        <w:rPr>
          <w:rFonts w:asciiTheme="minorHAnsi" w:eastAsia="Aptos" w:hAnsiTheme="minorHAnsi"/>
        </w:rPr>
        <w:t>,</w:t>
      </w:r>
      <w:r w:rsidRPr="007E08F7">
        <w:rPr>
          <w:rFonts w:asciiTheme="minorHAnsi" w:eastAsia="Aptos" w:hAnsiTheme="minorHAnsi"/>
        </w:rPr>
        <w:t xml:space="preserve"> poprzez wzrost zdolności do elastycznego funkcjonowania, dywersyfikację i zmian</w:t>
      </w:r>
      <w:r w:rsidR="000D6F34" w:rsidRPr="007E08F7">
        <w:rPr>
          <w:rFonts w:asciiTheme="minorHAnsi" w:eastAsia="Aptos" w:hAnsiTheme="minorHAnsi"/>
        </w:rPr>
        <w:t>ę</w:t>
      </w:r>
      <w:r w:rsidRPr="007E08F7">
        <w:rPr>
          <w:rFonts w:asciiTheme="minorHAnsi" w:eastAsia="Aptos" w:hAnsiTheme="minorHAnsi"/>
        </w:rPr>
        <w:t xml:space="preserve"> modeli biznesowych (w tym rozwój w obszarze technologii podwójnego zastosowania) oraz inwestycje</w:t>
      </w:r>
      <w:r w:rsidRPr="007E08F7">
        <w:t xml:space="preserve">, </w:t>
      </w:r>
      <w:r w:rsidRPr="007E08F7">
        <w:rPr>
          <w:rFonts w:asciiTheme="minorHAnsi" w:eastAsia="Aptos" w:hAnsiTheme="minorHAnsi"/>
        </w:rPr>
        <w:t>zwiększając bezpieczeństwo gospodarcze regionu. Dodatkowo, rośnie znaczenie efektywnego wykorzystywania zasobów, wdrażania rozwiązań technologicznych i cyfrowych oraz gospodarki o obiegu zamkniętym, prowadzące do spełnienia wymogów regulacyjnych, redukcji kosztów i śladu środowiskowego oraz wzrostu wartości dodanej.</w:t>
      </w:r>
      <w:r w:rsidRPr="007E08F7">
        <w:t xml:space="preserve"> </w:t>
      </w:r>
    </w:p>
    <w:p w14:paraId="3EDCB5B2" w14:textId="6FB25D8E" w:rsidR="00FA1EAF" w:rsidRPr="007E08F7" w:rsidRDefault="00FA1EAF" w:rsidP="00FA1EAF">
      <w:pPr>
        <w:spacing w:before="120" w:after="120" w:line="288" w:lineRule="auto"/>
        <w:rPr>
          <w:rFonts w:asciiTheme="minorHAnsi" w:eastAsia="Aptos" w:hAnsiTheme="minorHAnsi"/>
        </w:rPr>
      </w:pPr>
      <w:r w:rsidRPr="007E08F7">
        <w:rPr>
          <w:rFonts w:asciiTheme="minorHAnsi" w:eastAsia="Aptos" w:hAnsiTheme="minorHAnsi"/>
        </w:rPr>
        <w:t>Procesy identyfikacji regionalnych czempionów powiązane zostaną ze wzmocnieniem systemu doradztwa i wsparcia, ułatwiającego przedsiębiorstwom rozwój i skalowanie działalności. Kompleksowa i dopasowana do potrzeb oferta usług doradczych, umożliwi pomorskim przedsiębiorstwom o potencjale liderów branżowych poszukiwanie zewnętrznych źród</w:t>
      </w:r>
      <w:r w:rsidR="000D6F34" w:rsidRPr="007E08F7">
        <w:rPr>
          <w:rFonts w:asciiTheme="minorHAnsi" w:eastAsia="Aptos" w:hAnsiTheme="minorHAnsi"/>
        </w:rPr>
        <w:t>e</w:t>
      </w:r>
      <w:r w:rsidRPr="007E08F7">
        <w:rPr>
          <w:rFonts w:asciiTheme="minorHAnsi" w:eastAsia="Aptos" w:hAnsiTheme="minorHAnsi"/>
        </w:rPr>
        <w:t xml:space="preserve">ł finansowania, partnerów rozwojowych oraz efektywne alokowanie </w:t>
      </w:r>
      <w:r w:rsidRPr="007E08F7">
        <w:rPr>
          <w:rFonts w:asciiTheme="minorHAnsi" w:eastAsia="Aptos" w:hAnsiTheme="minorHAnsi"/>
        </w:rPr>
        <w:lastRenderedPageBreak/>
        <w:t>ograniczonych zasobów i osiąganie większej skali działalności, pozwalając na zbudowanie trwałych międzynarodowych powiązań i przewag gospodarczych.</w:t>
      </w:r>
    </w:p>
    <w:p w14:paraId="343346D4" w14:textId="7FE31393" w:rsidR="00FA1EAF" w:rsidRPr="007E08F7" w:rsidRDefault="00FA1EAF" w:rsidP="00886C1F">
      <w:pPr>
        <w:pStyle w:val="Nagwek4"/>
        <w:rPr>
          <w:iCs w:val="0"/>
        </w:rPr>
      </w:pPr>
      <w:r w:rsidRPr="007E08F7">
        <w:rPr>
          <w:iCs w:val="0"/>
        </w:rPr>
        <w:t xml:space="preserve">Ukierunkowanie tematyczne </w:t>
      </w:r>
      <w:r w:rsidR="00EF7D8D" w:rsidRPr="007E08F7">
        <w:rPr>
          <w:iCs w:val="0"/>
        </w:rPr>
        <w:t xml:space="preserve">CO 1.1 </w:t>
      </w:r>
      <w:r w:rsidR="00EF7D8D" w:rsidRPr="007E08F7">
        <w:rPr>
          <w:iCs w:val="0"/>
        </w:rPr>
        <w:br/>
      </w:r>
      <w:r w:rsidRPr="007E08F7">
        <w:rPr>
          <w:iCs w:val="0"/>
        </w:rPr>
        <w:t>(kluczowe kierunki interwencji i działania)</w:t>
      </w:r>
    </w:p>
    <w:p w14:paraId="2E3112B3" w14:textId="77777777" w:rsidR="00FA1EAF" w:rsidRPr="007E08F7" w:rsidRDefault="00FA1EAF" w:rsidP="00FA1EAF">
      <w:pPr>
        <w:spacing w:before="120" w:after="120" w:line="288" w:lineRule="auto"/>
        <w:rPr>
          <w:rFonts w:asciiTheme="minorHAnsi" w:hAnsiTheme="minorHAnsi"/>
        </w:rPr>
      </w:pPr>
      <w:r w:rsidRPr="007E08F7">
        <w:rPr>
          <w:rFonts w:asciiTheme="minorHAnsi" w:hAnsiTheme="minorHAnsi"/>
          <w:b/>
          <w:bCs/>
        </w:rPr>
        <w:t>1.1.1</w:t>
      </w:r>
      <w:r w:rsidRPr="007E08F7">
        <w:rPr>
          <w:rFonts w:asciiTheme="minorHAnsi" w:hAnsiTheme="minorHAnsi"/>
        </w:rPr>
        <w:t xml:space="preserve"> </w:t>
      </w:r>
      <w:r w:rsidRPr="007E08F7">
        <w:rPr>
          <w:rFonts w:asciiTheme="minorHAnsi" w:hAnsiTheme="minorHAnsi"/>
        </w:rPr>
        <w:br/>
        <w:t>Rozwój gospodarki opartej na innowacjach, inteligentnym zarządzaniu wiedzą oraz trwałych powiązaniach przedsiębiorstw z otoczeniem naukowym.</w:t>
      </w:r>
    </w:p>
    <w:p w14:paraId="2BA73525" w14:textId="38A7A011" w:rsidR="00FA1EAF" w:rsidRPr="007E08F7" w:rsidRDefault="00FA1EAF" w:rsidP="00FA1EAF">
      <w:pPr>
        <w:spacing w:before="120" w:after="120" w:line="288" w:lineRule="auto"/>
        <w:rPr>
          <w:rFonts w:asciiTheme="minorHAnsi" w:hAnsiTheme="minorHAnsi"/>
          <w:b/>
          <w:bCs/>
        </w:rPr>
      </w:pPr>
      <w:r w:rsidRPr="007E08F7">
        <w:rPr>
          <w:rFonts w:asciiTheme="minorHAnsi" w:hAnsiTheme="minorHAnsi"/>
          <w:b/>
          <w:bCs/>
        </w:rPr>
        <w:t>1.1.2</w:t>
      </w:r>
      <w:r w:rsidRPr="007E08F7">
        <w:rPr>
          <w:rFonts w:asciiTheme="minorHAnsi" w:hAnsiTheme="minorHAnsi"/>
          <w:b/>
          <w:bCs/>
        </w:rPr>
        <w:br/>
      </w:r>
      <w:r w:rsidRPr="007E08F7">
        <w:rPr>
          <w:rFonts w:asciiTheme="minorHAnsi" w:hAnsiTheme="minorHAnsi"/>
        </w:rPr>
        <w:t>Wykorzystanie technologii cyfrowych, w tym sztucznej inteligencji, automatyzacji i</w:t>
      </w:r>
      <w:r w:rsidR="0039302D" w:rsidRPr="007E08F7">
        <w:rPr>
          <w:rFonts w:asciiTheme="minorHAnsi" w:hAnsiTheme="minorHAnsi"/>
        </w:rPr>
        <w:t> </w:t>
      </w:r>
      <w:r w:rsidRPr="007E08F7">
        <w:rPr>
          <w:rFonts w:asciiTheme="minorHAnsi" w:hAnsiTheme="minorHAnsi"/>
        </w:rPr>
        <w:t>robotyzacji, jako narzędzi wzrostu produktywności i konkurencyjności przedsiębiorstw.</w:t>
      </w:r>
    </w:p>
    <w:p w14:paraId="48AE974B" w14:textId="77777777" w:rsidR="00FA1EAF" w:rsidRPr="007E08F7" w:rsidRDefault="00FA1EAF" w:rsidP="00FA1EAF">
      <w:pPr>
        <w:spacing w:before="120" w:after="120" w:line="288" w:lineRule="auto"/>
        <w:rPr>
          <w:rFonts w:asciiTheme="minorHAnsi" w:hAnsiTheme="minorHAnsi" w:cstheme="minorHAnsi"/>
          <w:b/>
          <w:bCs/>
        </w:rPr>
      </w:pPr>
      <w:r w:rsidRPr="007E08F7">
        <w:rPr>
          <w:rFonts w:asciiTheme="minorHAnsi" w:hAnsiTheme="minorHAnsi" w:cstheme="minorHAnsi"/>
          <w:b/>
          <w:bCs/>
        </w:rPr>
        <w:t>1.1.3</w:t>
      </w:r>
      <w:r w:rsidRPr="007E08F7">
        <w:rPr>
          <w:rFonts w:asciiTheme="minorHAnsi" w:hAnsiTheme="minorHAnsi" w:cstheme="minorHAnsi"/>
          <w:b/>
          <w:bCs/>
        </w:rPr>
        <w:br/>
      </w:r>
      <w:r w:rsidRPr="007E08F7">
        <w:rPr>
          <w:rFonts w:asciiTheme="minorHAnsi" w:hAnsiTheme="minorHAnsi" w:cstheme="minorHAnsi"/>
        </w:rPr>
        <w:t>Wzrost zdolności adaptacyjnych przedsiębiorstw, sprzyjających zwiększaniu produktywności, odporności, efektywnemu wykorzystaniu zasobów oraz rozwojowi gospodarki o obiegu zamkniętym.</w:t>
      </w:r>
    </w:p>
    <w:p w14:paraId="6CEF03B1" w14:textId="77777777" w:rsidR="00FA1EAF" w:rsidRPr="007E08F7" w:rsidRDefault="00FA1EAF" w:rsidP="00FA1EAF">
      <w:pPr>
        <w:spacing w:before="120" w:after="120" w:line="288" w:lineRule="auto"/>
        <w:rPr>
          <w:rFonts w:asciiTheme="minorHAnsi" w:hAnsiTheme="minorHAnsi" w:cstheme="minorHAnsi"/>
        </w:rPr>
      </w:pPr>
      <w:r w:rsidRPr="007E08F7">
        <w:rPr>
          <w:rFonts w:asciiTheme="minorHAnsi" w:hAnsiTheme="minorHAnsi" w:cstheme="minorHAnsi"/>
          <w:b/>
          <w:bCs/>
        </w:rPr>
        <w:t>1.1.4</w:t>
      </w:r>
      <w:r w:rsidRPr="007E08F7">
        <w:rPr>
          <w:rFonts w:asciiTheme="minorHAnsi" w:hAnsiTheme="minorHAnsi"/>
        </w:rPr>
        <w:br/>
      </w:r>
      <w:r w:rsidRPr="007E08F7">
        <w:rPr>
          <w:rFonts w:asciiTheme="minorHAnsi" w:hAnsiTheme="minorHAnsi" w:cstheme="minorHAnsi"/>
        </w:rPr>
        <w:t>Rozwój przedsiębiorstw o wysokim potencjale wzrostu, skalowanie ich działalności oraz budowanie silnej pozycji w gospodarczych łańcuchach wartości.</w:t>
      </w:r>
    </w:p>
    <w:p w14:paraId="286D8946" w14:textId="69B8B827" w:rsidR="00FA1EAF" w:rsidRPr="007E08F7" w:rsidRDefault="00FA1EAF" w:rsidP="00126F62">
      <w:pPr>
        <w:pStyle w:val="Nagwek4"/>
        <w:rPr>
          <w:iCs w:val="0"/>
        </w:rPr>
      </w:pPr>
      <w:r w:rsidRPr="007E08F7">
        <w:rPr>
          <w:iCs w:val="0"/>
        </w:rPr>
        <w:t>Ukierunkowanie terytorialne</w:t>
      </w:r>
      <w:r w:rsidR="00EF7D8D" w:rsidRPr="007E08F7">
        <w:rPr>
          <w:iCs w:val="0"/>
        </w:rPr>
        <w:t xml:space="preserve"> CO 1.1</w:t>
      </w:r>
    </w:p>
    <w:p w14:paraId="0D381288" w14:textId="2FA9FC9B" w:rsidR="00FA1EAF" w:rsidRPr="007E08F7" w:rsidRDefault="00FA1EAF" w:rsidP="00FA1EAF">
      <w:pPr>
        <w:spacing w:before="120" w:after="120" w:line="288" w:lineRule="auto"/>
        <w:rPr>
          <w:rFonts w:asciiTheme="minorHAnsi" w:hAnsiTheme="minorHAnsi"/>
        </w:rPr>
      </w:pPr>
      <w:r w:rsidRPr="007E08F7">
        <w:rPr>
          <w:rFonts w:asciiTheme="minorHAnsi" w:hAnsiTheme="minorHAnsi"/>
        </w:rPr>
        <w:t>Całe województwo, z</w:t>
      </w:r>
      <w:r w:rsidR="000D6F34" w:rsidRPr="007E08F7">
        <w:rPr>
          <w:rFonts w:asciiTheme="minorHAnsi" w:hAnsiTheme="minorHAnsi"/>
        </w:rPr>
        <w:t xml:space="preserve"> naciskiem </w:t>
      </w:r>
      <w:r w:rsidRPr="007E08F7">
        <w:rPr>
          <w:rFonts w:asciiTheme="minorHAnsi" w:hAnsiTheme="minorHAnsi"/>
        </w:rPr>
        <w:t>na dyfuzję innowacji z obszaru metropolitalnego do ośrodków regionalnych i lokalnych.</w:t>
      </w:r>
    </w:p>
    <w:p w14:paraId="3B2BA58D" w14:textId="6357A70C" w:rsidR="00FA1EAF" w:rsidRPr="007E08F7" w:rsidRDefault="00FA1EAF" w:rsidP="00126F62">
      <w:pPr>
        <w:pStyle w:val="Nagwek4"/>
        <w:rPr>
          <w:iCs w:val="0"/>
        </w:rPr>
      </w:pPr>
      <w:r w:rsidRPr="007E08F7">
        <w:rPr>
          <w:iCs w:val="0"/>
        </w:rPr>
        <w:t>Oczekiwane rezultaty</w:t>
      </w:r>
      <w:r w:rsidR="00EF7D8D" w:rsidRPr="007E08F7">
        <w:rPr>
          <w:iCs w:val="0"/>
        </w:rPr>
        <w:t xml:space="preserve"> CO 1.1</w:t>
      </w:r>
    </w:p>
    <w:p w14:paraId="147AEA44" w14:textId="77777777" w:rsidR="00FA1EAF" w:rsidRPr="007E08F7" w:rsidRDefault="00FA1EAF">
      <w:pPr>
        <w:numPr>
          <w:ilvl w:val="0"/>
          <w:numId w:val="24"/>
        </w:numPr>
        <w:spacing w:before="120" w:after="120" w:line="288" w:lineRule="auto"/>
        <w:rPr>
          <w:rFonts w:asciiTheme="minorHAnsi" w:hAnsiTheme="minorHAnsi"/>
        </w:rPr>
      </w:pPr>
      <w:r w:rsidRPr="007E08F7">
        <w:rPr>
          <w:rFonts w:asciiTheme="minorHAnsi" w:hAnsiTheme="minorHAnsi"/>
        </w:rPr>
        <w:t>Wzrost innowacyjności przedsiębiorstw oraz wykorzystania wyników badań i prac rozwojowych.</w:t>
      </w:r>
    </w:p>
    <w:p w14:paraId="4A79F696" w14:textId="77777777" w:rsidR="00FA1EAF" w:rsidRPr="007E08F7" w:rsidRDefault="00FA1EAF">
      <w:pPr>
        <w:numPr>
          <w:ilvl w:val="0"/>
          <w:numId w:val="24"/>
        </w:numPr>
        <w:spacing w:before="120" w:after="120" w:line="288" w:lineRule="auto"/>
        <w:rPr>
          <w:rFonts w:asciiTheme="minorHAnsi" w:hAnsiTheme="minorHAnsi"/>
        </w:rPr>
      </w:pPr>
      <w:r w:rsidRPr="007E08F7">
        <w:rPr>
          <w:rFonts w:asciiTheme="minorHAnsi" w:hAnsiTheme="minorHAnsi"/>
        </w:rPr>
        <w:t>Zwiększenie liczby przedsiębiorstw wykorzystujących technologie cyfrowe, sztuczną inteligencję, automatyzację i robotyzację w procesach gospodarczych.</w:t>
      </w:r>
    </w:p>
    <w:p w14:paraId="43F5C80F" w14:textId="77777777" w:rsidR="00FA1EAF" w:rsidRPr="007E08F7" w:rsidRDefault="00FA1EAF">
      <w:pPr>
        <w:numPr>
          <w:ilvl w:val="0"/>
          <w:numId w:val="24"/>
        </w:numPr>
        <w:spacing w:before="120" w:after="120" w:line="288" w:lineRule="auto"/>
        <w:rPr>
          <w:rFonts w:asciiTheme="minorHAnsi" w:hAnsiTheme="minorHAnsi"/>
        </w:rPr>
      </w:pPr>
      <w:r w:rsidRPr="007E08F7">
        <w:rPr>
          <w:rFonts w:asciiTheme="minorHAnsi" w:hAnsiTheme="minorHAnsi"/>
        </w:rPr>
        <w:t>Zwiększenie udziału działalności tworzących wysoką wartość dodaną w gospodarce regionu.</w:t>
      </w:r>
    </w:p>
    <w:p w14:paraId="4708D30C" w14:textId="51C60452" w:rsidR="00C65D6A" w:rsidRPr="007E08F7" w:rsidRDefault="00FA1EAF">
      <w:pPr>
        <w:numPr>
          <w:ilvl w:val="0"/>
          <w:numId w:val="24"/>
        </w:numPr>
        <w:spacing w:before="120" w:after="120" w:line="288" w:lineRule="auto"/>
        <w:rPr>
          <w:rFonts w:asciiTheme="minorHAnsi" w:hAnsiTheme="minorHAnsi"/>
        </w:rPr>
      </w:pPr>
      <w:r w:rsidRPr="007E08F7">
        <w:rPr>
          <w:rFonts w:asciiTheme="minorHAnsi" w:hAnsiTheme="minorHAnsi"/>
        </w:rPr>
        <w:t>Zmiana pozycji rynkowej przedsiębiorstw, pozwalająca na trwały wzrost udziału w</w:t>
      </w:r>
      <w:r w:rsidR="0039302D" w:rsidRPr="007E08F7">
        <w:rPr>
          <w:rFonts w:asciiTheme="minorHAnsi" w:hAnsiTheme="minorHAnsi"/>
        </w:rPr>
        <w:t> </w:t>
      </w:r>
      <w:r w:rsidRPr="007E08F7">
        <w:rPr>
          <w:rFonts w:asciiTheme="minorHAnsi" w:hAnsiTheme="minorHAnsi"/>
        </w:rPr>
        <w:t xml:space="preserve">rynku i </w:t>
      </w:r>
      <w:r w:rsidR="006437C4" w:rsidRPr="007E08F7">
        <w:rPr>
          <w:rFonts w:asciiTheme="minorHAnsi" w:hAnsiTheme="minorHAnsi"/>
        </w:rPr>
        <w:t>osiągnięcie</w:t>
      </w:r>
      <w:r w:rsidRPr="007E08F7">
        <w:rPr>
          <w:rFonts w:asciiTheme="minorHAnsi" w:hAnsiTheme="minorHAnsi"/>
        </w:rPr>
        <w:t xml:space="preserve"> wysokiej pozycji konkurencyjnej.</w:t>
      </w:r>
    </w:p>
    <w:p w14:paraId="176B85CD" w14:textId="77777777" w:rsidR="00C65D6A" w:rsidRPr="007E08F7" w:rsidRDefault="00C65D6A">
      <w:pPr>
        <w:rPr>
          <w:rFonts w:asciiTheme="minorHAnsi" w:hAnsiTheme="minorHAnsi"/>
        </w:rPr>
      </w:pPr>
      <w:r w:rsidRPr="007E08F7">
        <w:rPr>
          <w:rFonts w:asciiTheme="minorHAnsi" w:hAnsiTheme="minorHAnsi"/>
        </w:rPr>
        <w:br w:type="page"/>
      </w:r>
    </w:p>
    <w:p w14:paraId="389546E8" w14:textId="708BA51F" w:rsidR="00FA1EAF" w:rsidRPr="007E08F7" w:rsidRDefault="00FA1EAF" w:rsidP="00126F62">
      <w:pPr>
        <w:pStyle w:val="Nagwek4"/>
        <w:rPr>
          <w:iCs w:val="0"/>
        </w:rPr>
      </w:pPr>
      <w:r w:rsidRPr="007E08F7">
        <w:rPr>
          <w:iCs w:val="0"/>
        </w:rPr>
        <w:lastRenderedPageBreak/>
        <w:t>Wskaźniki</w:t>
      </w:r>
      <w:r w:rsidR="00EF7D8D" w:rsidRPr="007E08F7">
        <w:rPr>
          <w:iCs w:val="0"/>
        </w:rPr>
        <w:t xml:space="preserve"> CO 1.1</w:t>
      </w:r>
    </w:p>
    <w:tbl>
      <w:tblPr>
        <w:tblStyle w:val="Tabela-Siatka2"/>
        <w:tblW w:w="5000" w:type="pct"/>
        <w:tblLook w:val="04A0" w:firstRow="1" w:lastRow="0" w:firstColumn="1" w:lastColumn="0" w:noHBand="0" w:noVBand="1"/>
      </w:tblPr>
      <w:tblGrid>
        <w:gridCol w:w="4107"/>
        <w:gridCol w:w="1559"/>
        <w:gridCol w:w="1843"/>
        <w:gridCol w:w="1553"/>
      </w:tblGrid>
      <w:tr w:rsidR="00FA1EAF" w:rsidRPr="007E08F7" w14:paraId="0E61ED15" w14:textId="77777777" w:rsidTr="00ED576F">
        <w:trPr>
          <w:cantSplit/>
          <w:tblHeader/>
        </w:trPr>
        <w:tc>
          <w:tcPr>
            <w:tcW w:w="2266" w:type="pct"/>
            <w:tcBorders>
              <w:top w:val="single" w:sz="4" w:space="0" w:color="auto"/>
              <w:left w:val="single" w:sz="4" w:space="0" w:color="auto"/>
              <w:bottom w:val="single" w:sz="4" w:space="0" w:color="auto"/>
              <w:right w:val="single" w:sz="4" w:space="0" w:color="FFFFFF" w:themeColor="background1"/>
            </w:tcBorders>
            <w:shd w:val="clear" w:color="auto" w:fill="153D63" w:themeFill="text2" w:themeFillTint="E6"/>
            <w:vAlign w:val="center"/>
          </w:tcPr>
          <w:p w14:paraId="51CDFA10" w14:textId="77777777" w:rsidR="00FA1EAF" w:rsidRPr="007E08F7" w:rsidRDefault="00FA1EAF" w:rsidP="007D658A">
            <w:pPr>
              <w:rPr>
                <w:rFonts w:eastAsia="Aptos"/>
                <w:color w:val="FFFFFF" w:themeColor="background1"/>
              </w:rPr>
            </w:pPr>
            <w:r w:rsidRPr="007E08F7">
              <w:rPr>
                <w:rFonts w:eastAsia="Aptos"/>
                <w:b/>
                <w:color w:val="FFFFFF" w:themeColor="background1"/>
              </w:rPr>
              <w:t>Nazwa</w:t>
            </w:r>
          </w:p>
        </w:tc>
        <w:tc>
          <w:tcPr>
            <w:tcW w:w="860" w:type="pct"/>
            <w:tcBorders>
              <w:top w:val="single" w:sz="4" w:space="0" w:color="auto"/>
              <w:left w:val="single" w:sz="4" w:space="0" w:color="FFFFFF" w:themeColor="background1"/>
              <w:bottom w:val="single" w:sz="4" w:space="0" w:color="auto"/>
              <w:right w:val="single" w:sz="4" w:space="0" w:color="FFFFFF" w:themeColor="background1"/>
            </w:tcBorders>
            <w:shd w:val="clear" w:color="auto" w:fill="153D63" w:themeFill="text2" w:themeFillTint="E6"/>
            <w:vAlign w:val="center"/>
          </w:tcPr>
          <w:p w14:paraId="65FF1219" w14:textId="1D0BFB3A" w:rsidR="00FA1EAF" w:rsidRPr="007E08F7" w:rsidRDefault="00FA1EAF" w:rsidP="007D658A">
            <w:pPr>
              <w:rPr>
                <w:rFonts w:eastAsia="Aptos"/>
                <w:color w:val="FFFFFF" w:themeColor="background1"/>
              </w:rPr>
            </w:pPr>
            <w:r w:rsidRPr="007E08F7">
              <w:rPr>
                <w:rFonts w:eastAsia="Aptos"/>
                <w:b/>
                <w:color w:val="FFFFFF" w:themeColor="background1"/>
              </w:rPr>
              <w:t>Wartość bazowa</w:t>
            </w:r>
          </w:p>
        </w:tc>
        <w:tc>
          <w:tcPr>
            <w:tcW w:w="1017" w:type="pct"/>
            <w:tcBorders>
              <w:top w:val="single" w:sz="4" w:space="0" w:color="auto"/>
              <w:left w:val="single" w:sz="4" w:space="0" w:color="FFFFFF" w:themeColor="background1"/>
              <w:bottom w:val="single" w:sz="4" w:space="0" w:color="auto"/>
              <w:right w:val="single" w:sz="4" w:space="0" w:color="FFFFFF" w:themeColor="background1"/>
            </w:tcBorders>
            <w:shd w:val="clear" w:color="auto" w:fill="153D63" w:themeFill="text2" w:themeFillTint="E6"/>
            <w:vAlign w:val="center"/>
          </w:tcPr>
          <w:p w14:paraId="05664491" w14:textId="77777777" w:rsidR="00FA1EAF" w:rsidRPr="007E08F7" w:rsidRDefault="00FA1EAF" w:rsidP="007D658A">
            <w:pPr>
              <w:rPr>
                <w:rFonts w:eastAsia="Aptos"/>
                <w:color w:val="FFFFFF" w:themeColor="background1"/>
              </w:rPr>
            </w:pPr>
            <w:r w:rsidRPr="007E08F7">
              <w:rPr>
                <w:rFonts w:eastAsia="Aptos"/>
                <w:b/>
                <w:color w:val="FFFFFF" w:themeColor="background1"/>
              </w:rPr>
              <w:t>Wartość docelowa</w:t>
            </w:r>
          </w:p>
        </w:tc>
        <w:tc>
          <w:tcPr>
            <w:tcW w:w="857" w:type="pct"/>
            <w:tcBorders>
              <w:top w:val="single" w:sz="4" w:space="0" w:color="auto"/>
              <w:left w:val="single" w:sz="4" w:space="0" w:color="FFFFFF" w:themeColor="background1"/>
              <w:bottom w:val="single" w:sz="4" w:space="0" w:color="auto"/>
              <w:right w:val="single" w:sz="4" w:space="0" w:color="auto"/>
            </w:tcBorders>
            <w:shd w:val="clear" w:color="auto" w:fill="153D63" w:themeFill="text2" w:themeFillTint="E6"/>
            <w:vAlign w:val="center"/>
          </w:tcPr>
          <w:p w14:paraId="3F612F57" w14:textId="77777777" w:rsidR="00FA1EAF" w:rsidRPr="007E08F7" w:rsidRDefault="00FA1EAF" w:rsidP="007D658A">
            <w:pPr>
              <w:rPr>
                <w:rFonts w:eastAsia="Aptos"/>
                <w:color w:val="FFFFFF" w:themeColor="background1"/>
              </w:rPr>
            </w:pPr>
            <w:r w:rsidRPr="007E08F7">
              <w:rPr>
                <w:rFonts w:eastAsia="Aptos"/>
                <w:b/>
                <w:color w:val="FFFFFF" w:themeColor="background1"/>
              </w:rPr>
              <w:t>Źródło danych</w:t>
            </w:r>
          </w:p>
        </w:tc>
      </w:tr>
      <w:tr w:rsidR="00DF66D3" w:rsidRPr="007E08F7" w14:paraId="73B8FD12" w14:textId="77777777" w:rsidTr="00ED576F">
        <w:trPr>
          <w:cantSplit/>
        </w:trPr>
        <w:tc>
          <w:tcPr>
            <w:tcW w:w="2266" w:type="pct"/>
            <w:tcBorders>
              <w:top w:val="single" w:sz="4" w:space="0" w:color="auto"/>
            </w:tcBorders>
            <w:vAlign w:val="center"/>
          </w:tcPr>
          <w:p w14:paraId="5DD0F540" w14:textId="44AFE6CD" w:rsidR="00DF66D3" w:rsidRPr="007E08F7" w:rsidRDefault="00DF66D3" w:rsidP="00ED576F">
            <w:pPr>
              <w:spacing w:after="120" w:line="276" w:lineRule="auto"/>
              <w:rPr>
                <w:rFonts w:eastAsia="Aptos"/>
              </w:rPr>
            </w:pPr>
            <w:r w:rsidRPr="007E08F7">
              <w:rPr>
                <w:rFonts w:eastAsia="Aptos"/>
              </w:rPr>
              <w:t>Nakłady wewnętrzne na działalność B+R w relacji do PKB</w:t>
            </w:r>
          </w:p>
        </w:tc>
        <w:tc>
          <w:tcPr>
            <w:tcW w:w="860" w:type="pct"/>
            <w:tcBorders>
              <w:top w:val="single" w:sz="4" w:space="0" w:color="auto"/>
            </w:tcBorders>
            <w:vAlign w:val="center"/>
          </w:tcPr>
          <w:p w14:paraId="345D820D" w14:textId="4A4ADCB0" w:rsidR="00DF66D3" w:rsidRPr="007E08F7" w:rsidRDefault="00DF66D3" w:rsidP="00ED576F">
            <w:pPr>
              <w:spacing w:after="120" w:line="276" w:lineRule="auto"/>
              <w:rPr>
                <w:rFonts w:eastAsia="Aptos"/>
              </w:rPr>
            </w:pPr>
            <w:r w:rsidRPr="007E08F7">
              <w:rPr>
                <w:rFonts w:eastAsia="Aptos"/>
              </w:rPr>
              <w:t>2,1%</w:t>
            </w:r>
            <w:r w:rsidRPr="007E08F7">
              <w:rPr>
                <w:rFonts w:eastAsia="Aptos"/>
              </w:rPr>
              <w:br/>
              <w:t>(2024)</w:t>
            </w:r>
          </w:p>
        </w:tc>
        <w:tc>
          <w:tcPr>
            <w:tcW w:w="1017" w:type="pct"/>
            <w:tcBorders>
              <w:top w:val="single" w:sz="4" w:space="0" w:color="auto"/>
            </w:tcBorders>
            <w:vAlign w:val="center"/>
          </w:tcPr>
          <w:p w14:paraId="432D36A5" w14:textId="22098B0A" w:rsidR="00DF66D3" w:rsidRPr="007E08F7" w:rsidRDefault="00DF66D3" w:rsidP="00ED576F">
            <w:pPr>
              <w:spacing w:after="120" w:line="276" w:lineRule="auto"/>
              <w:rPr>
                <w:rFonts w:eastAsia="Aptos"/>
              </w:rPr>
            </w:pPr>
            <w:r w:rsidRPr="007E08F7">
              <w:rPr>
                <w:rFonts w:eastAsia="Aptos"/>
              </w:rPr>
              <w:t>do uzupełnienia</w:t>
            </w:r>
          </w:p>
        </w:tc>
        <w:tc>
          <w:tcPr>
            <w:tcW w:w="857" w:type="pct"/>
            <w:tcBorders>
              <w:top w:val="single" w:sz="4" w:space="0" w:color="auto"/>
            </w:tcBorders>
            <w:vAlign w:val="center"/>
          </w:tcPr>
          <w:p w14:paraId="3896293E" w14:textId="097FCEDA" w:rsidR="00DF66D3" w:rsidRPr="007E08F7" w:rsidRDefault="00DF66D3" w:rsidP="00ED576F">
            <w:pPr>
              <w:spacing w:after="120" w:line="276" w:lineRule="auto"/>
              <w:rPr>
                <w:rFonts w:eastAsia="Aptos"/>
              </w:rPr>
            </w:pPr>
            <w:r w:rsidRPr="007E08F7">
              <w:rPr>
                <w:rFonts w:eastAsia="Aptos"/>
              </w:rPr>
              <w:t>GUS</w:t>
            </w:r>
          </w:p>
        </w:tc>
      </w:tr>
      <w:tr w:rsidR="00DF66D3" w:rsidRPr="007E08F7" w14:paraId="5A54EB84" w14:textId="77777777" w:rsidTr="00ED576F">
        <w:trPr>
          <w:cantSplit/>
        </w:trPr>
        <w:tc>
          <w:tcPr>
            <w:tcW w:w="2266" w:type="pct"/>
            <w:vAlign w:val="center"/>
          </w:tcPr>
          <w:p w14:paraId="1AD19BAB" w14:textId="449A9750" w:rsidR="00DF66D3" w:rsidRPr="007E08F7" w:rsidRDefault="00DF66D3" w:rsidP="00ED576F">
            <w:pPr>
              <w:spacing w:after="120" w:line="276" w:lineRule="auto"/>
              <w:rPr>
                <w:rFonts w:eastAsia="Aptos"/>
              </w:rPr>
            </w:pPr>
            <w:r w:rsidRPr="007E08F7">
              <w:rPr>
                <w:rFonts w:eastAsia="Aptos"/>
              </w:rPr>
              <w:t>Udział przedsiębiorstw</w:t>
            </w:r>
            <w:r w:rsidR="006059BE" w:rsidRPr="007E08F7">
              <w:rPr>
                <w:rFonts w:eastAsia="Aptos"/>
              </w:rPr>
              <w:t> </w:t>
            </w:r>
            <w:r w:rsidRPr="007E08F7">
              <w:rPr>
                <w:rFonts w:eastAsia="Aptos"/>
              </w:rPr>
              <w:t>innowacyjnych w</w:t>
            </w:r>
            <w:r w:rsidR="006059BE" w:rsidRPr="007E08F7">
              <w:rPr>
                <w:rFonts w:eastAsia="Aptos"/>
              </w:rPr>
              <w:t> </w:t>
            </w:r>
            <w:r w:rsidRPr="007E08F7">
              <w:rPr>
                <w:rFonts w:eastAsia="Aptos"/>
              </w:rPr>
              <w:t>ogólnej liczbie przedsiębiorstw</w:t>
            </w:r>
          </w:p>
        </w:tc>
        <w:tc>
          <w:tcPr>
            <w:tcW w:w="860" w:type="pct"/>
            <w:vAlign w:val="center"/>
          </w:tcPr>
          <w:p w14:paraId="764DB9F9" w14:textId="69E2BB54" w:rsidR="00DF66D3" w:rsidRPr="007E08F7" w:rsidRDefault="00DF66D3" w:rsidP="00ED576F">
            <w:pPr>
              <w:spacing w:after="120" w:line="276" w:lineRule="auto"/>
              <w:rPr>
                <w:rFonts w:eastAsia="Aptos"/>
              </w:rPr>
            </w:pPr>
            <w:r w:rsidRPr="007E08F7">
              <w:rPr>
                <w:rFonts w:eastAsia="Aptos"/>
              </w:rPr>
              <w:t>29,0%</w:t>
            </w:r>
            <w:r w:rsidRPr="007E08F7">
              <w:rPr>
                <w:rFonts w:eastAsia="Aptos"/>
              </w:rPr>
              <w:br/>
              <w:t>(2024)</w:t>
            </w:r>
          </w:p>
        </w:tc>
        <w:tc>
          <w:tcPr>
            <w:tcW w:w="1017" w:type="pct"/>
            <w:vAlign w:val="center"/>
          </w:tcPr>
          <w:p w14:paraId="3CCC3A0A" w14:textId="194FF951" w:rsidR="00DF66D3" w:rsidRPr="007E08F7" w:rsidRDefault="00886C1F" w:rsidP="00ED576F">
            <w:pPr>
              <w:spacing w:after="120" w:line="276" w:lineRule="auto"/>
              <w:rPr>
                <w:rFonts w:eastAsia="Aptos"/>
              </w:rPr>
            </w:pPr>
            <w:r w:rsidRPr="007E08F7">
              <w:rPr>
                <w:rFonts w:eastAsia="Aptos"/>
              </w:rPr>
              <w:t>d</w:t>
            </w:r>
            <w:r w:rsidR="00DF66D3" w:rsidRPr="007E08F7">
              <w:rPr>
                <w:rFonts w:eastAsia="Aptos"/>
              </w:rPr>
              <w:t>o</w:t>
            </w:r>
            <w:r w:rsidRPr="007E08F7">
              <w:rPr>
                <w:rFonts w:eastAsia="Aptos"/>
              </w:rPr>
              <w:t xml:space="preserve"> </w:t>
            </w:r>
            <w:r w:rsidR="00DF66D3" w:rsidRPr="007E08F7">
              <w:rPr>
                <w:rFonts w:eastAsia="Aptos"/>
              </w:rPr>
              <w:t>uzupełnienia</w:t>
            </w:r>
          </w:p>
        </w:tc>
        <w:tc>
          <w:tcPr>
            <w:tcW w:w="857" w:type="pct"/>
            <w:vAlign w:val="center"/>
          </w:tcPr>
          <w:p w14:paraId="01DB6F99" w14:textId="5FD99064" w:rsidR="00DF66D3" w:rsidRPr="007E08F7" w:rsidRDefault="00DF66D3" w:rsidP="00ED576F">
            <w:pPr>
              <w:spacing w:after="120" w:line="276" w:lineRule="auto"/>
              <w:rPr>
                <w:rFonts w:eastAsia="Aptos"/>
              </w:rPr>
            </w:pPr>
            <w:r w:rsidRPr="007E08F7">
              <w:rPr>
                <w:rFonts w:eastAsia="Aptos"/>
              </w:rPr>
              <w:t>GUS</w:t>
            </w:r>
          </w:p>
        </w:tc>
      </w:tr>
      <w:tr w:rsidR="00DF66D3" w:rsidRPr="007E08F7" w14:paraId="67DAC262" w14:textId="77777777" w:rsidTr="00ED576F">
        <w:trPr>
          <w:cantSplit/>
        </w:trPr>
        <w:tc>
          <w:tcPr>
            <w:tcW w:w="2266" w:type="pct"/>
            <w:vAlign w:val="center"/>
          </w:tcPr>
          <w:p w14:paraId="06DC03DF" w14:textId="70AA345C" w:rsidR="00DF66D3" w:rsidRPr="007E08F7" w:rsidRDefault="00DF66D3" w:rsidP="00ED576F">
            <w:pPr>
              <w:spacing w:after="120" w:line="276" w:lineRule="auto"/>
              <w:rPr>
                <w:rFonts w:eastAsia="Aptos"/>
              </w:rPr>
            </w:pPr>
            <w:r w:rsidRPr="007E08F7">
              <w:rPr>
                <w:rFonts w:eastAsia="Aptos"/>
              </w:rPr>
              <w:t>Liczba zgłoszeń patentowych na</w:t>
            </w:r>
            <w:r w:rsidR="006059BE" w:rsidRPr="007E08F7">
              <w:rPr>
                <w:rFonts w:eastAsia="Aptos"/>
              </w:rPr>
              <w:t> </w:t>
            </w:r>
            <w:r w:rsidRPr="007E08F7">
              <w:rPr>
                <w:rFonts w:eastAsia="Aptos"/>
              </w:rPr>
              <w:t>100</w:t>
            </w:r>
            <w:r w:rsidR="006059BE" w:rsidRPr="007E08F7">
              <w:rPr>
                <w:rFonts w:eastAsia="Aptos"/>
              </w:rPr>
              <w:t> </w:t>
            </w:r>
            <w:r w:rsidRPr="007E08F7">
              <w:rPr>
                <w:rFonts w:eastAsia="Aptos"/>
              </w:rPr>
              <w:t>tys.</w:t>
            </w:r>
            <w:r w:rsidR="00ED576F" w:rsidRPr="007E08F7">
              <w:rPr>
                <w:rFonts w:eastAsia="Aptos"/>
              </w:rPr>
              <w:t> </w:t>
            </w:r>
            <w:r w:rsidRPr="007E08F7">
              <w:rPr>
                <w:rFonts w:eastAsia="Aptos"/>
              </w:rPr>
              <w:t>mieszkańców</w:t>
            </w:r>
          </w:p>
        </w:tc>
        <w:tc>
          <w:tcPr>
            <w:tcW w:w="860" w:type="pct"/>
            <w:vAlign w:val="center"/>
          </w:tcPr>
          <w:p w14:paraId="418D2F1E" w14:textId="254394EE" w:rsidR="00DF66D3" w:rsidRPr="007E08F7" w:rsidRDefault="00DF66D3" w:rsidP="00ED576F">
            <w:pPr>
              <w:spacing w:after="120" w:line="276" w:lineRule="auto"/>
              <w:rPr>
                <w:rFonts w:eastAsia="Aptos"/>
              </w:rPr>
            </w:pPr>
            <w:r w:rsidRPr="007E08F7">
              <w:rPr>
                <w:rFonts w:eastAsia="Aptos"/>
                <w:color w:val="000000"/>
              </w:rPr>
              <w:t>5,1</w:t>
            </w:r>
            <w:r w:rsidRPr="007E08F7">
              <w:rPr>
                <w:rFonts w:eastAsia="Aptos"/>
                <w:color w:val="000000"/>
              </w:rPr>
              <w:br/>
              <w:t>(2025)</w:t>
            </w:r>
          </w:p>
        </w:tc>
        <w:tc>
          <w:tcPr>
            <w:tcW w:w="1017" w:type="pct"/>
            <w:vAlign w:val="center"/>
          </w:tcPr>
          <w:p w14:paraId="4A12AC50" w14:textId="0EA0B305" w:rsidR="00DF66D3" w:rsidRPr="007E08F7" w:rsidRDefault="00886C1F" w:rsidP="00ED576F">
            <w:pPr>
              <w:spacing w:after="120" w:line="276" w:lineRule="auto"/>
              <w:rPr>
                <w:rFonts w:eastAsia="Aptos"/>
              </w:rPr>
            </w:pPr>
            <w:r w:rsidRPr="007E08F7">
              <w:rPr>
                <w:rFonts w:eastAsia="Aptos"/>
              </w:rPr>
              <w:t xml:space="preserve">do </w:t>
            </w:r>
            <w:r w:rsidR="00DF66D3" w:rsidRPr="007E08F7">
              <w:rPr>
                <w:rFonts w:eastAsia="Aptos"/>
              </w:rPr>
              <w:t>uzupełnienia</w:t>
            </w:r>
          </w:p>
        </w:tc>
        <w:tc>
          <w:tcPr>
            <w:tcW w:w="857" w:type="pct"/>
            <w:vAlign w:val="center"/>
          </w:tcPr>
          <w:p w14:paraId="49694DCE" w14:textId="7E4A9120" w:rsidR="00DF66D3" w:rsidRPr="007E08F7" w:rsidRDefault="00DF66D3" w:rsidP="00ED576F">
            <w:pPr>
              <w:spacing w:after="120" w:line="276" w:lineRule="auto"/>
              <w:rPr>
                <w:rFonts w:eastAsia="Aptos"/>
              </w:rPr>
            </w:pPr>
            <w:r w:rsidRPr="007E08F7">
              <w:rPr>
                <w:rFonts w:eastAsia="Aptos"/>
              </w:rPr>
              <w:t>GUS</w:t>
            </w:r>
          </w:p>
        </w:tc>
      </w:tr>
      <w:tr w:rsidR="00DF66D3" w:rsidRPr="007E08F7" w14:paraId="627F54A8" w14:textId="77777777" w:rsidTr="00ED576F">
        <w:trPr>
          <w:cantSplit/>
        </w:trPr>
        <w:tc>
          <w:tcPr>
            <w:tcW w:w="2266" w:type="pct"/>
            <w:vAlign w:val="center"/>
          </w:tcPr>
          <w:p w14:paraId="4E600EAE" w14:textId="75F45613" w:rsidR="00DF66D3" w:rsidRPr="007E08F7" w:rsidRDefault="00DF66D3" w:rsidP="00ED576F">
            <w:pPr>
              <w:spacing w:after="120" w:line="276" w:lineRule="auto"/>
              <w:rPr>
                <w:rFonts w:eastAsia="Aptos"/>
              </w:rPr>
            </w:pPr>
            <w:r w:rsidRPr="007E08F7">
              <w:rPr>
                <w:rFonts w:eastAsia="Aptos"/>
              </w:rPr>
              <w:t>Odsetek przedsiębiorstw o wysokim poziomie intensywności cyfrowej</w:t>
            </w:r>
          </w:p>
        </w:tc>
        <w:tc>
          <w:tcPr>
            <w:tcW w:w="860" w:type="pct"/>
            <w:vAlign w:val="center"/>
          </w:tcPr>
          <w:p w14:paraId="56200453" w14:textId="735E6423" w:rsidR="00DF66D3" w:rsidRPr="007E08F7" w:rsidRDefault="00DF66D3" w:rsidP="00ED576F">
            <w:pPr>
              <w:spacing w:after="120" w:line="276" w:lineRule="auto"/>
              <w:rPr>
                <w:rFonts w:eastAsia="Aptos"/>
                <w:color w:val="000000"/>
              </w:rPr>
            </w:pPr>
            <w:r w:rsidRPr="007E08F7">
              <w:rPr>
                <w:rFonts w:eastAsia="Aptos"/>
              </w:rPr>
              <w:t>31,0%</w:t>
            </w:r>
            <w:r w:rsidRPr="007E08F7">
              <w:rPr>
                <w:rFonts w:eastAsia="Aptos"/>
              </w:rPr>
              <w:br/>
              <w:t>(2025)</w:t>
            </w:r>
          </w:p>
        </w:tc>
        <w:tc>
          <w:tcPr>
            <w:tcW w:w="1017" w:type="pct"/>
            <w:vAlign w:val="center"/>
          </w:tcPr>
          <w:p w14:paraId="71979338" w14:textId="5C2C968C" w:rsidR="00DF66D3" w:rsidRPr="007E08F7" w:rsidRDefault="00886C1F" w:rsidP="00ED576F">
            <w:pPr>
              <w:spacing w:after="120" w:line="276" w:lineRule="auto"/>
              <w:rPr>
                <w:rFonts w:eastAsia="Aptos"/>
              </w:rPr>
            </w:pPr>
            <w:r w:rsidRPr="007E08F7">
              <w:rPr>
                <w:rFonts w:eastAsia="Aptos"/>
              </w:rPr>
              <w:t>d</w:t>
            </w:r>
            <w:r w:rsidR="00DF66D3" w:rsidRPr="007E08F7">
              <w:rPr>
                <w:rFonts w:eastAsia="Aptos"/>
              </w:rPr>
              <w:t>o</w:t>
            </w:r>
            <w:r w:rsidRPr="007E08F7">
              <w:rPr>
                <w:rFonts w:eastAsia="Aptos"/>
              </w:rPr>
              <w:t xml:space="preserve"> u</w:t>
            </w:r>
            <w:r w:rsidR="00DF66D3" w:rsidRPr="007E08F7">
              <w:rPr>
                <w:rFonts w:eastAsia="Aptos"/>
              </w:rPr>
              <w:t>zupełnienia</w:t>
            </w:r>
          </w:p>
        </w:tc>
        <w:tc>
          <w:tcPr>
            <w:tcW w:w="857" w:type="pct"/>
            <w:vAlign w:val="center"/>
          </w:tcPr>
          <w:p w14:paraId="5EF7C64D" w14:textId="15292918" w:rsidR="00DF66D3" w:rsidRPr="007E08F7" w:rsidRDefault="00DF66D3" w:rsidP="00ED576F">
            <w:pPr>
              <w:spacing w:after="120" w:line="276" w:lineRule="auto"/>
              <w:rPr>
                <w:rFonts w:eastAsia="Aptos"/>
              </w:rPr>
            </w:pPr>
            <w:r w:rsidRPr="007E08F7">
              <w:rPr>
                <w:rFonts w:eastAsia="Aptos"/>
              </w:rPr>
              <w:t>Obliczenia własne na</w:t>
            </w:r>
            <w:r w:rsidR="00886C1F" w:rsidRPr="007E08F7">
              <w:rPr>
                <w:rFonts w:eastAsia="Aptos"/>
              </w:rPr>
              <w:t> </w:t>
            </w:r>
            <w:r w:rsidRPr="007E08F7">
              <w:rPr>
                <w:rFonts w:eastAsia="Aptos"/>
              </w:rPr>
              <w:t>podstawie danych GUS</w:t>
            </w:r>
          </w:p>
        </w:tc>
      </w:tr>
      <w:tr w:rsidR="00DF66D3" w:rsidRPr="007E08F7" w14:paraId="42DF8B6D" w14:textId="77777777" w:rsidTr="00ED576F">
        <w:trPr>
          <w:cantSplit/>
        </w:trPr>
        <w:tc>
          <w:tcPr>
            <w:tcW w:w="2266" w:type="pct"/>
            <w:vAlign w:val="center"/>
          </w:tcPr>
          <w:p w14:paraId="49DFA552" w14:textId="56C84FF0" w:rsidR="00DF66D3" w:rsidRPr="007E08F7" w:rsidRDefault="00DF66D3" w:rsidP="00ED576F">
            <w:pPr>
              <w:spacing w:after="120" w:line="276" w:lineRule="auto"/>
              <w:rPr>
                <w:rFonts w:eastAsia="Aptos"/>
              </w:rPr>
            </w:pPr>
            <w:r w:rsidRPr="007E08F7">
              <w:rPr>
                <w:rFonts w:eastAsia="Aptos"/>
              </w:rPr>
              <w:t>Zużycie energii elektrycznej na</w:t>
            </w:r>
            <w:r w:rsidR="006059BE" w:rsidRPr="007E08F7">
              <w:rPr>
                <w:rFonts w:eastAsia="Aptos"/>
              </w:rPr>
              <w:t> </w:t>
            </w:r>
            <w:r w:rsidRPr="007E08F7">
              <w:rPr>
                <w:rFonts w:eastAsia="Aptos"/>
              </w:rPr>
              <w:t>1</w:t>
            </w:r>
            <w:r w:rsidR="006059BE" w:rsidRPr="007E08F7">
              <w:rPr>
                <w:rFonts w:eastAsia="Aptos"/>
              </w:rPr>
              <w:t> </w:t>
            </w:r>
            <w:r w:rsidRPr="007E08F7">
              <w:rPr>
                <w:rFonts w:eastAsia="Aptos"/>
              </w:rPr>
              <w:t>mln</w:t>
            </w:r>
            <w:r w:rsidR="006059BE" w:rsidRPr="007E08F7">
              <w:rPr>
                <w:rFonts w:eastAsia="Aptos"/>
              </w:rPr>
              <w:t> </w:t>
            </w:r>
            <w:r w:rsidRPr="007E08F7">
              <w:rPr>
                <w:rFonts w:eastAsia="Aptos"/>
              </w:rPr>
              <w:t>zł</w:t>
            </w:r>
            <w:r w:rsidR="00ED576F" w:rsidRPr="007E08F7">
              <w:rPr>
                <w:rFonts w:eastAsia="Aptos"/>
              </w:rPr>
              <w:t> </w:t>
            </w:r>
            <w:r w:rsidRPr="007E08F7">
              <w:rPr>
                <w:rFonts w:eastAsia="Aptos"/>
              </w:rPr>
              <w:t>PKB</w:t>
            </w:r>
          </w:p>
        </w:tc>
        <w:tc>
          <w:tcPr>
            <w:tcW w:w="860" w:type="pct"/>
            <w:vAlign w:val="center"/>
          </w:tcPr>
          <w:p w14:paraId="289526E7" w14:textId="77777777" w:rsidR="00DF66D3" w:rsidRPr="007E08F7" w:rsidRDefault="00DF66D3" w:rsidP="00ED576F">
            <w:pPr>
              <w:spacing w:after="120" w:line="276" w:lineRule="auto"/>
              <w:rPr>
                <w:rFonts w:eastAsia="Aptos"/>
              </w:rPr>
            </w:pPr>
            <w:r w:rsidRPr="007E08F7">
              <w:rPr>
                <w:rFonts w:eastAsia="Aptos"/>
              </w:rPr>
              <w:t>42,3 MWh</w:t>
            </w:r>
          </w:p>
          <w:p w14:paraId="23D61109" w14:textId="7D024767" w:rsidR="00DF66D3" w:rsidRPr="007E08F7" w:rsidRDefault="00DF66D3" w:rsidP="00ED576F">
            <w:pPr>
              <w:spacing w:after="120" w:line="276" w:lineRule="auto"/>
              <w:rPr>
                <w:rFonts w:eastAsia="Aptos"/>
              </w:rPr>
            </w:pPr>
            <w:r w:rsidRPr="007E08F7">
              <w:rPr>
                <w:rFonts w:eastAsia="Aptos"/>
              </w:rPr>
              <w:t>(2024)</w:t>
            </w:r>
          </w:p>
        </w:tc>
        <w:tc>
          <w:tcPr>
            <w:tcW w:w="1017" w:type="pct"/>
            <w:vAlign w:val="center"/>
          </w:tcPr>
          <w:p w14:paraId="6210C188" w14:textId="727B5675" w:rsidR="00DF66D3" w:rsidRPr="007E08F7" w:rsidRDefault="00886C1F" w:rsidP="00ED576F">
            <w:pPr>
              <w:spacing w:after="120" w:line="276" w:lineRule="auto"/>
              <w:rPr>
                <w:rFonts w:eastAsia="Aptos"/>
              </w:rPr>
            </w:pPr>
            <w:r w:rsidRPr="007E08F7">
              <w:rPr>
                <w:rFonts w:eastAsia="Aptos"/>
              </w:rPr>
              <w:t>d</w:t>
            </w:r>
            <w:r w:rsidR="00DF66D3" w:rsidRPr="007E08F7">
              <w:rPr>
                <w:rFonts w:eastAsia="Aptos"/>
              </w:rPr>
              <w:t>o</w:t>
            </w:r>
            <w:r w:rsidRPr="007E08F7">
              <w:rPr>
                <w:rFonts w:eastAsia="Aptos"/>
              </w:rPr>
              <w:t xml:space="preserve"> </w:t>
            </w:r>
            <w:r w:rsidR="00DF66D3" w:rsidRPr="007E08F7">
              <w:rPr>
                <w:rFonts w:eastAsia="Aptos"/>
              </w:rPr>
              <w:t>uzupełnienia</w:t>
            </w:r>
          </w:p>
        </w:tc>
        <w:tc>
          <w:tcPr>
            <w:tcW w:w="857" w:type="pct"/>
            <w:vAlign w:val="center"/>
          </w:tcPr>
          <w:p w14:paraId="37DD6103" w14:textId="71E9D354" w:rsidR="00DF66D3" w:rsidRPr="007E08F7" w:rsidRDefault="00DF66D3" w:rsidP="00ED576F">
            <w:pPr>
              <w:spacing w:after="120" w:line="276" w:lineRule="auto"/>
              <w:rPr>
                <w:rFonts w:eastAsia="Aptos"/>
              </w:rPr>
            </w:pPr>
            <w:r w:rsidRPr="007E08F7">
              <w:rPr>
                <w:rFonts w:eastAsia="Aptos"/>
              </w:rPr>
              <w:t>Obliczenia własne na</w:t>
            </w:r>
            <w:r w:rsidR="00886C1F" w:rsidRPr="007E08F7">
              <w:rPr>
                <w:rFonts w:eastAsia="Aptos"/>
              </w:rPr>
              <w:t> </w:t>
            </w:r>
            <w:r w:rsidRPr="007E08F7">
              <w:rPr>
                <w:rFonts w:eastAsia="Aptos"/>
              </w:rPr>
              <w:t>podstawie danych GUS</w:t>
            </w:r>
          </w:p>
        </w:tc>
      </w:tr>
    </w:tbl>
    <w:p w14:paraId="14F4BE8D" w14:textId="1D2E0B00" w:rsidR="00FA1EAF" w:rsidRPr="007E08F7" w:rsidRDefault="00FA1EAF" w:rsidP="006059BE">
      <w:pPr>
        <w:pStyle w:val="Nagwek4"/>
        <w:spacing w:before="360"/>
        <w:rPr>
          <w:iCs w:val="0"/>
        </w:rPr>
      </w:pPr>
      <w:r w:rsidRPr="007E08F7">
        <w:rPr>
          <w:iCs w:val="0"/>
        </w:rPr>
        <w:t>Postulaty wobec władz centralnych</w:t>
      </w:r>
      <w:r w:rsidR="00EF7D8D" w:rsidRPr="007E08F7">
        <w:rPr>
          <w:iCs w:val="0"/>
        </w:rPr>
        <w:t xml:space="preserve"> CO 1.1</w:t>
      </w:r>
    </w:p>
    <w:p w14:paraId="0C3ED48F" w14:textId="77777777" w:rsidR="00FA1EAF" w:rsidRPr="007E08F7" w:rsidRDefault="00FA1EAF">
      <w:pPr>
        <w:pStyle w:val="Akapitzlist"/>
        <w:numPr>
          <w:ilvl w:val="0"/>
          <w:numId w:val="42"/>
        </w:numPr>
        <w:spacing w:before="120" w:after="120" w:line="288" w:lineRule="auto"/>
        <w:ind w:left="425" w:hanging="425"/>
        <w:contextualSpacing w:val="0"/>
        <w:rPr>
          <w:rFonts w:asciiTheme="minorHAnsi" w:hAnsiTheme="minorHAnsi"/>
        </w:rPr>
      </w:pPr>
      <w:r w:rsidRPr="007E08F7">
        <w:rPr>
          <w:rFonts w:asciiTheme="minorHAnsi" w:hAnsiTheme="minorHAnsi"/>
        </w:rPr>
        <w:t>Zwiększenie krajowych nakładów na badania, rozwój i innowacje, w tym rozwój instrumentów wspierających komercjalizację wyników badań, transfer technologii oraz trwałą współpracę przedsiębiorstw z uczelniami i instytutami badawczymi.</w:t>
      </w:r>
    </w:p>
    <w:p w14:paraId="0B6471DD" w14:textId="0F2255F5" w:rsidR="00FA1EAF" w:rsidRPr="007E08F7" w:rsidRDefault="00FA1EAF">
      <w:pPr>
        <w:pStyle w:val="Akapitzlist"/>
        <w:numPr>
          <w:ilvl w:val="0"/>
          <w:numId w:val="42"/>
        </w:numPr>
        <w:spacing w:before="120" w:after="120" w:line="288" w:lineRule="auto"/>
        <w:ind w:left="425" w:hanging="425"/>
        <w:contextualSpacing w:val="0"/>
        <w:rPr>
          <w:rFonts w:asciiTheme="minorHAnsi" w:hAnsiTheme="minorHAnsi"/>
        </w:rPr>
      </w:pPr>
      <w:r w:rsidRPr="007E08F7">
        <w:rPr>
          <w:rFonts w:asciiTheme="minorHAnsi" w:hAnsiTheme="minorHAnsi"/>
        </w:rPr>
        <w:t>Zapewnienie na poziomie krajowym stabilnych ram prawno-regulacyjnych dla nowych technologii oraz prowadzenia spójnej polityki przemysłowej, innowacyjnej i</w:t>
      </w:r>
      <w:r w:rsidR="0039302D" w:rsidRPr="007E08F7">
        <w:rPr>
          <w:rFonts w:asciiTheme="minorHAnsi" w:hAnsiTheme="minorHAnsi"/>
        </w:rPr>
        <w:t> </w:t>
      </w:r>
      <w:r w:rsidRPr="007E08F7">
        <w:rPr>
          <w:rFonts w:asciiTheme="minorHAnsi" w:hAnsiTheme="minorHAnsi"/>
        </w:rPr>
        <w:t>technologicznej, uwzględniającej specyfikę regionalną w zakresie</w:t>
      </w:r>
      <w:r w:rsidRPr="007E08F7">
        <w:t xml:space="preserve"> </w:t>
      </w:r>
      <w:r w:rsidRPr="007E08F7">
        <w:rPr>
          <w:rFonts w:asciiTheme="minorHAnsi" w:hAnsiTheme="minorHAnsi"/>
        </w:rPr>
        <w:t>strategicznych sektorów i technologii.</w:t>
      </w:r>
    </w:p>
    <w:p w14:paraId="03F371FF" w14:textId="7933ABF4" w:rsidR="003A29FC" w:rsidRPr="007E08F7" w:rsidRDefault="00FA1EAF">
      <w:pPr>
        <w:pStyle w:val="Akapitzlist"/>
        <w:numPr>
          <w:ilvl w:val="0"/>
          <w:numId w:val="42"/>
        </w:numPr>
        <w:spacing w:before="120" w:after="120" w:line="288" w:lineRule="auto"/>
        <w:ind w:left="425" w:hanging="425"/>
        <w:contextualSpacing w:val="0"/>
        <w:rPr>
          <w:rFonts w:asciiTheme="minorHAnsi" w:hAnsiTheme="minorHAnsi"/>
        </w:rPr>
      </w:pPr>
      <w:r w:rsidRPr="007E08F7">
        <w:rPr>
          <w:rFonts w:asciiTheme="minorHAnsi" w:hAnsiTheme="minorHAnsi"/>
        </w:rPr>
        <w:t>Wypracowanie mechanizmów pozwalających na koordynację procesu skalowania działalności przedsiębiorstw i projektów badawczo-rozwojowych, w powiązaniu z</w:t>
      </w:r>
      <w:r w:rsidR="0039302D" w:rsidRPr="007E08F7">
        <w:rPr>
          <w:rFonts w:asciiTheme="minorHAnsi" w:hAnsiTheme="minorHAnsi"/>
        </w:rPr>
        <w:t> </w:t>
      </w:r>
      <w:r w:rsidRPr="007E08F7">
        <w:rPr>
          <w:rFonts w:asciiTheme="minorHAnsi" w:hAnsiTheme="minorHAnsi"/>
        </w:rPr>
        <w:t>sekwencyjnym przejściem z regionalnych do krajowych i unijnych mechanizmów wsparcia</w:t>
      </w:r>
      <w:r w:rsidR="003A29FC" w:rsidRPr="007E08F7">
        <w:rPr>
          <w:rFonts w:asciiTheme="minorHAnsi" w:hAnsiTheme="minorHAnsi"/>
        </w:rPr>
        <w:t>.</w:t>
      </w:r>
      <w:r w:rsidR="003A29FC" w:rsidRPr="007E08F7">
        <w:rPr>
          <w:rFonts w:asciiTheme="minorHAnsi" w:hAnsiTheme="minorHAnsi"/>
          <w:color w:val="EE0000"/>
        </w:rPr>
        <w:br w:type="page"/>
      </w:r>
    </w:p>
    <w:p w14:paraId="2D690533" w14:textId="77777777" w:rsidR="003A29FC" w:rsidRPr="007E08F7" w:rsidRDefault="003A29FC" w:rsidP="002F715A">
      <w:pPr>
        <w:pStyle w:val="Nagwek3"/>
      </w:pPr>
      <w:bookmarkStart w:id="51" w:name="_Toc239772078"/>
      <w:r w:rsidRPr="007E08F7">
        <w:lastRenderedPageBreak/>
        <w:t>Cel operacyjny 1.2. Unikalne potencjały wzrostu</w:t>
      </w:r>
      <w:bookmarkEnd w:id="51"/>
    </w:p>
    <w:p w14:paraId="30F94CE5" w14:textId="533F3208" w:rsidR="003A29FC" w:rsidRPr="007E08F7" w:rsidRDefault="003A29FC" w:rsidP="00B32464">
      <w:pPr>
        <w:pStyle w:val="Nagwek4"/>
        <w:rPr>
          <w:iCs w:val="0"/>
        </w:rPr>
      </w:pPr>
      <w:r w:rsidRPr="007E08F7">
        <w:rPr>
          <w:iCs w:val="0"/>
        </w:rPr>
        <w:t>Przesłanki realizacji Celu operacyjnego</w:t>
      </w:r>
      <w:r w:rsidR="00EF7D8D" w:rsidRPr="007E08F7">
        <w:rPr>
          <w:iCs w:val="0"/>
        </w:rPr>
        <w:t xml:space="preserve"> 1.2</w:t>
      </w:r>
    </w:p>
    <w:p w14:paraId="2A396E86" w14:textId="0E5B85E8" w:rsidR="00C65D6A" w:rsidRPr="007E08F7" w:rsidRDefault="00C65D6A" w:rsidP="00C65D6A">
      <w:pPr>
        <w:spacing w:before="120" w:after="120" w:line="288" w:lineRule="auto"/>
        <w:rPr>
          <w:rFonts w:asciiTheme="minorHAnsi" w:eastAsia="Aptos" w:hAnsiTheme="minorHAnsi"/>
        </w:rPr>
      </w:pPr>
      <w:r w:rsidRPr="007E08F7">
        <w:rPr>
          <w:rFonts w:asciiTheme="minorHAnsi" w:eastAsia="Aptos" w:hAnsiTheme="minorHAnsi"/>
        </w:rPr>
        <w:t xml:space="preserve">Pełniejsze wykorzystanie trwałych przewag wynikających z położenia geograficznego, zasobów naturalnych, potencjału portów, gospodarki morskiej, zaplecza logistycznego oraz </w:t>
      </w:r>
      <w:r w:rsidR="007D1C5B" w:rsidRPr="007E08F7">
        <w:rPr>
          <w:rFonts w:asciiTheme="minorHAnsi" w:eastAsia="Aptos" w:hAnsiTheme="minorHAnsi"/>
        </w:rPr>
        <w:t xml:space="preserve">sieci współpracy </w:t>
      </w:r>
      <w:r w:rsidRPr="007E08F7">
        <w:rPr>
          <w:rFonts w:asciiTheme="minorHAnsi" w:eastAsia="Aptos" w:hAnsiTheme="minorHAnsi"/>
        </w:rPr>
        <w:t>podmiotów uczestniczących w regionalnych łańcuchach wartości jest kluczową przesłanką długofalowego rozwoju gospodarczego Pomorza.</w:t>
      </w:r>
    </w:p>
    <w:p w14:paraId="7851D395" w14:textId="77777777" w:rsidR="00C65D6A" w:rsidRPr="007E08F7" w:rsidRDefault="00C65D6A" w:rsidP="00C65D6A">
      <w:pPr>
        <w:spacing w:before="120" w:after="120" w:line="288" w:lineRule="auto"/>
        <w:rPr>
          <w:rFonts w:asciiTheme="minorHAnsi" w:eastAsia="Aptos" w:hAnsiTheme="minorHAnsi"/>
        </w:rPr>
      </w:pPr>
      <w:r w:rsidRPr="007E08F7">
        <w:rPr>
          <w:rFonts w:asciiTheme="minorHAnsi" w:eastAsia="Aptos" w:hAnsiTheme="minorHAnsi"/>
        </w:rPr>
        <w:t>Gospodarka skupiona wokół sektora morskiego i przeładunków cechuje się znaczną komplementarnością funkcji i czynników wzrostu, tworząc potrzebę dla systemowego rozwoju i współpracy, w tym ramowej koordynacji funkcjonowania portów morskich. Istotny wpływ na perspektywy zrównoważonego rozwoju niebieskiej gospodarki tworzą nowe technologie, transformacja energetyczno-klimatyczna, kwestie budowania odporności oraz otwarcia nowych szlaków i kierunków transportowych.</w:t>
      </w:r>
    </w:p>
    <w:p w14:paraId="762EF137" w14:textId="3AA6CB7E" w:rsidR="00C65D6A" w:rsidRPr="007E08F7" w:rsidRDefault="00C65D6A" w:rsidP="00C65D6A">
      <w:pPr>
        <w:spacing w:before="120" w:after="120" w:line="288" w:lineRule="auto"/>
        <w:rPr>
          <w:rFonts w:asciiTheme="minorHAnsi" w:eastAsia="Aptos" w:hAnsiTheme="minorHAnsi"/>
        </w:rPr>
      </w:pPr>
      <w:r w:rsidRPr="007E08F7">
        <w:rPr>
          <w:rFonts w:asciiTheme="minorHAnsi" w:eastAsia="Aptos" w:hAnsiTheme="minorHAnsi"/>
        </w:rPr>
        <w:t>Zachodzące zmiany geopolityczne, przebudowa międzynarodowych powiązań gospodarczych</w:t>
      </w:r>
      <w:r w:rsidRPr="007E08F7">
        <w:t xml:space="preserve"> oraz </w:t>
      </w:r>
      <w:r w:rsidRPr="007E08F7">
        <w:rPr>
          <w:rFonts w:asciiTheme="minorHAnsi" w:eastAsia="Aptos" w:hAnsiTheme="minorHAnsi"/>
        </w:rPr>
        <w:t>transformacja energetyczna zwiększają znaczenie regionów zdolnych do zapewnienia bezpieczeństwa dostaw, nowoczesnego zaplecza produkcyjnego oraz sprawnych powiązań logistycznych, tworzących spójne i</w:t>
      </w:r>
      <w:r w:rsidR="0039302D" w:rsidRPr="007E08F7">
        <w:rPr>
          <w:rFonts w:asciiTheme="minorHAnsi" w:eastAsia="Aptos" w:hAnsiTheme="minorHAnsi"/>
        </w:rPr>
        <w:t> </w:t>
      </w:r>
      <w:r w:rsidRPr="007E08F7">
        <w:rPr>
          <w:rFonts w:asciiTheme="minorHAnsi" w:eastAsia="Aptos" w:hAnsiTheme="minorHAnsi"/>
        </w:rPr>
        <w:t>zintegrowane systemy infrastruktury portowej i kolejowo-drogowej.</w:t>
      </w:r>
    </w:p>
    <w:p w14:paraId="01E8AF04" w14:textId="77777777" w:rsidR="00C65D6A" w:rsidRPr="007E08F7" w:rsidRDefault="00C65D6A" w:rsidP="00C65D6A">
      <w:pPr>
        <w:spacing w:before="120" w:after="120" w:line="288" w:lineRule="auto"/>
        <w:rPr>
          <w:rFonts w:asciiTheme="minorHAnsi" w:eastAsia="Aptos" w:hAnsiTheme="minorHAnsi"/>
        </w:rPr>
      </w:pPr>
      <w:r w:rsidRPr="007E08F7">
        <w:rPr>
          <w:rFonts w:asciiTheme="minorHAnsi" w:eastAsia="Aptos" w:hAnsiTheme="minorHAnsi"/>
        </w:rPr>
        <w:t>Czynniki wynikające z nadmorskiego charakteru regionu oddziałują i wzmacniają powiązania oraz relacje gospodarcze obejmujące w szczególności pozostałą strukturę gospodarczą przedsiębiorstw, funkcje przestrzenne i infrastrukturalne, a także sieci współpracy, badań i kształcenia.</w:t>
      </w:r>
    </w:p>
    <w:p w14:paraId="568ECC72" w14:textId="5183C7BB" w:rsidR="00C65D6A" w:rsidRPr="007E08F7" w:rsidRDefault="00C65D6A" w:rsidP="00C65D6A">
      <w:pPr>
        <w:spacing w:before="120" w:after="120" w:line="288" w:lineRule="auto"/>
        <w:rPr>
          <w:rFonts w:asciiTheme="minorHAnsi" w:eastAsia="Aptos" w:hAnsiTheme="minorHAnsi"/>
        </w:rPr>
      </w:pPr>
      <w:r w:rsidRPr="007E08F7">
        <w:rPr>
          <w:rFonts w:asciiTheme="minorHAnsi" w:eastAsia="Aptos" w:hAnsiTheme="minorHAnsi"/>
        </w:rPr>
        <w:t xml:space="preserve">Efektywne wykorzystanie lokalnych uwarunkowań i zasobów, w tym nadwyżek energetycznych, wzmocni również atrakcyjność inwestycyjną regionu oraz zwiększy możliwości elastycznego włączenia pomorskiej gospodarki w globalne sieci wartości. Inwestycje oraz korzyści z rozwoju na rynkach zewnętrznych wpływają na wzrost produktywności i wartości dodanej gospodarki Pomorza. Rozwój kompleksowej oferty wsparcia działalności inwestycyjnej kierowany jest zarówno do nowych, jak i obecnych w regionie inwestorów. Równolegle, rozwój gospodarczy regionu wzmacniany jest dzięki wzrostowi aktywności eksportowej pomorskich przedsiębiorstw, która zapewnia dostęp do nowych rynków, form współpracy i pozwala na dywersyfikację </w:t>
      </w:r>
      <w:proofErr w:type="spellStart"/>
      <w:r w:rsidRPr="007E08F7">
        <w:rPr>
          <w:rFonts w:asciiTheme="minorHAnsi" w:eastAsia="Aptos" w:hAnsiTheme="minorHAnsi"/>
        </w:rPr>
        <w:t>ryzyk</w:t>
      </w:r>
      <w:proofErr w:type="spellEnd"/>
      <w:r w:rsidRPr="007E08F7">
        <w:rPr>
          <w:rFonts w:asciiTheme="minorHAnsi" w:eastAsia="Aptos" w:hAnsiTheme="minorHAnsi"/>
        </w:rPr>
        <w:t xml:space="preserve"> biznesowych w</w:t>
      </w:r>
      <w:r w:rsidR="0039302D" w:rsidRPr="007E08F7">
        <w:rPr>
          <w:rFonts w:asciiTheme="minorHAnsi" w:eastAsia="Aptos" w:hAnsiTheme="minorHAnsi"/>
        </w:rPr>
        <w:t> </w:t>
      </w:r>
      <w:r w:rsidRPr="007E08F7">
        <w:rPr>
          <w:rFonts w:asciiTheme="minorHAnsi" w:eastAsia="Aptos" w:hAnsiTheme="minorHAnsi"/>
        </w:rPr>
        <w:t>wymiarze międzynarodowym.</w:t>
      </w:r>
    </w:p>
    <w:p w14:paraId="74AF433E" w14:textId="0EA027BD" w:rsidR="00EE2BA0" w:rsidRPr="007E08F7" w:rsidRDefault="00C65D6A" w:rsidP="00921D22">
      <w:pPr>
        <w:spacing w:before="120" w:after="120" w:line="288" w:lineRule="auto"/>
        <w:rPr>
          <w:rFonts w:asciiTheme="minorHAnsi" w:eastAsia="Aptos" w:hAnsiTheme="minorHAnsi"/>
        </w:rPr>
      </w:pPr>
      <w:r w:rsidRPr="007E08F7">
        <w:rPr>
          <w:rFonts w:asciiTheme="minorHAnsi" w:eastAsia="Aptos" w:hAnsiTheme="minorHAnsi"/>
        </w:rPr>
        <w:t>Potencjał gospodarczy Pomorza rozwijany jest także w oparciu o zrównoważone wykorzystanie zasobów naturalnych i walorów turystycznych regionu oraz rozwój nowych obszarów wzrostu konkurencyjności. Pełniejsze wykorzystanie szans i przewag wynikających z unikalnych potencjałów wzrostu przyczynia się do wzmocnienia rynku wewnętrznego</w:t>
      </w:r>
      <w:r w:rsidRPr="007E08F7">
        <w:t xml:space="preserve">, </w:t>
      </w:r>
      <w:r w:rsidRPr="007E08F7">
        <w:rPr>
          <w:rFonts w:asciiTheme="minorHAnsi" w:eastAsia="Aptos" w:hAnsiTheme="minorHAnsi"/>
        </w:rPr>
        <w:t>specjalizacji łańcuchów wartości i niezależności gospodarczej regionu.</w:t>
      </w:r>
      <w:r w:rsidR="00EE2BA0" w:rsidRPr="007E08F7">
        <w:rPr>
          <w:rFonts w:asciiTheme="minorHAnsi" w:eastAsia="Aptos" w:hAnsiTheme="minorHAnsi"/>
        </w:rPr>
        <w:br w:type="page"/>
      </w:r>
    </w:p>
    <w:p w14:paraId="0063A02D" w14:textId="3BC68216" w:rsidR="00C65D6A" w:rsidRPr="007E08F7" w:rsidRDefault="00C65D6A" w:rsidP="00EE3EB1">
      <w:pPr>
        <w:pStyle w:val="Nagwek4"/>
        <w:rPr>
          <w:iCs w:val="0"/>
        </w:rPr>
      </w:pPr>
      <w:r w:rsidRPr="007E08F7">
        <w:rPr>
          <w:iCs w:val="0"/>
        </w:rPr>
        <w:lastRenderedPageBreak/>
        <w:t xml:space="preserve">Ukierunkowanie tematyczne </w:t>
      </w:r>
      <w:r w:rsidR="00EF7D8D" w:rsidRPr="007E08F7">
        <w:rPr>
          <w:iCs w:val="0"/>
        </w:rPr>
        <w:t xml:space="preserve">CO 1.2 </w:t>
      </w:r>
      <w:r w:rsidR="00EF7D8D" w:rsidRPr="007E08F7">
        <w:rPr>
          <w:iCs w:val="0"/>
        </w:rPr>
        <w:br/>
      </w:r>
      <w:r w:rsidRPr="007E08F7">
        <w:rPr>
          <w:iCs w:val="0"/>
        </w:rPr>
        <w:t>(kluczowe kierunki interwencji i działania)</w:t>
      </w:r>
    </w:p>
    <w:p w14:paraId="09048ED4" w14:textId="77777777" w:rsidR="00C65D6A" w:rsidRPr="007E08F7" w:rsidRDefault="00C65D6A" w:rsidP="00C65D6A">
      <w:pPr>
        <w:spacing w:before="120" w:after="120" w:line="288" w:lineRule="auto"/>
        <w:rPr>
          <w:rFonts w:asciiTheme="minorHAnsi" w:hAnsiTheme="minorHAnsi"/>
        </w:rPr>
      </w:pPr>
      <w:r w:rsidRPr="007E08F7">
        <w:rPr>
          <w:rFonts w:asciiTheme="minorHAnsi" w:hAnsiTheme="minorHAnsi"/>
          <w:b/>
          <w:bCs/>
        </w:rPr>
        <w:t>1.2.1</w:t>
      </w:r>
      <w:r w:rsidRPr="007E08F7">
        <w:rPr>
          <w:rFonts w:asciiTheme="minorHAnsi" w:hAnsiTheme="minorHAnsi"/>
        </w:rPr>
        <w:t xml:space="preserve"> </w:t>
      </w:r>
      <w:r w:rsidRPr="007E08F7">
        <w:rPr>
          <w:rFonts w:asciiTheme="minorHAnsi" w:hAnsiTheme="minorHAnsi"/>
        </w:rPr>
        <w:br/>
        <w:t>Wzmacnianie konkurencyjności gospodarki morskiej, portowej, logistycznej</w:t>
      </w:r>
      <w:r w:rsidRPr="007E08F7">
        <w:t xml:space="preserve"> </w:t>
      </w:r>
      <w:r w:rsidRPr="007E08F7">
        <w:rPr>
          <w:rFonts w:asciiTheme="minorHAnsi" w:hAnsiTheme="minorHAnsi"/>
        </w:rPr>
        <w:t>oraz rozwój współpracy i koordynacji działań podmiotów gospodarki morskiej i portowej.</w:t>
      </w:r>
    </w:p>
    <w:p w14:paraId="0EE82281" w14:textId="50797D54" w:rsidR="00C65D6A" w:rsidRPr="007E08F7" w:rsidRDefault="00C65D6A" w:rsidP="00C65D6A">
      <w:pPr>
        <w:spacing w:before="120" w:after="120" w:line="288" w:lineRule="auto"/>
        <w:rPr>
          <w:rFonts w:asciiTheme="minorHAnsi" w:hAnsiTheme="minorHAnsi" w:cstheme="minorHAnsi"/>
        </w:rPr>
      </w:pPr>
      <w:r w:rsidRPr="007E08F7">
        <w:rPr>
          <w:rFonts w:asciiTheme="minorHAnsi" w:hAnsiTheme="minorHAnsi"/>
          <w:b/>
          <w:bCs/>
        </w:rPr>
        <w:t>1.2.2</w:t>
      </w:r>
      <w:r w:rsidRPr="007E08F7">
        <w:rPr>
          <w:rFonts w:asciiTheme="minorHAnsi" w:hAnsiTheme="minorHAnsi" w:cstheme="minorHAnsi"/>
        </w:rPr>
        <w:br/>
        <w:t>Zwiększanie atrakcyjności inwestycyjnej i aktywności eksportowej dla przedsięwzięć tworzących wysoką wartość dodaną</w:t>
      </w:r>
      <w:r w:rsidRPr="007E08F7">
        <w:t xml:space="preserve"> i </w:t>
      </w:r>
      <w:r w:rsidRPr="007E08F7">
        <w:rPr>
          <w:rFonts w:asciiTheme="minorHAnsi" w:hAnsiTheme="minorHAnsi" w:cstheme="minorHAnsi"/>
        </w:rPr>
        <w:t>nowoczesne funkcje gospodarcze, w</w:t>
      </w:r>
      <w:r w:rsidR="0039302D" w:rsidRPr="007E08F7">
        <w:rPr>
          <w:rFonts w:asciiTheme="minorHAnsi" w:hAnsiTheme="minorHAnsi" w:cstheme="minorHAnsi"/>
        </w:rPr>
        <w:t> </w:t>
      </w:r>
      <w:r w:rsidRPr="007E08F7">
        <w:rPr>
          <w:rFonts w:asciiTheme="minorHAnsi" w:hAnsiTheme="minorHAnsi" w:cstheme="minorHAnsi"/>
        </w:rPr>
        <w:t>szczególności w sektorach powiązanych z transformacją energetyczną.</w:t>
      </w:r>
    </w:p>
    <w:p w14:paraId="7A80554A" w14:textId="77777777" w:rsidR="00C65D6A" w:rsidRPr="007E08F7" w:rsidRDefault="00C65D6A" w:rsidP="00C65D6A">
      <w:pPr>
        <w:spacing w:before="120" w:after="120" w:line="288" w:lineRule="auto"/>
        <w:rPr>
          <w:rFonts w:asciiTheme="minorHAnsi" w:hAnsiTheme="minorHAnsi" w:cstheme="minorHAnsi"/>
          <w:b/>
          <w:bCs/>
        </w:rPr>
      </w:pPr>
      <w:r w:rsidRPr="007E08F7">
        <w:rPr>
          <w:rFonts w:asciiTheme="minorHAnsi" w:hAnsiTheme="minorHAnsi" w:cstheme="minorHAnsi"/>
          <w:b/>
          <w:bCs/>
        </w:rPr>
        <w:t>1.2.3</w:t>
      </w:r>
      <w:r w:rsidRPr="007E08F7">
        <w:rPr>
          <w:rFonts w:asciiTheme="minorHAnsi" w:hAnsiTheme="minorHAnsi" w:cstheme="minorHAnsi"/>
          <w:b/>
          <w:bCs/>
        </w:rPr>
        <w:br/>
      </w:r>
      <w:r w:rsidRPr="007E08F7">
        <w:t>Rozwój przewag gospodarczych opartych na zrównoważonym wykorzystaniu potencjałów regionalnych, w tym zasobów naturalnych oraz walorów turystycznych regionu.</w:t>
      </w:r>
    </w:p>
    <w:p w14:paraId="2854EFCF" w14:textId="3B2258E9" w:rsidR="00C65D6A" w:rsidRPr="007E08F7" w:rsidRDefault="00C65D6A" w:rsidP="00EE3EB1">
      <w:pPr>
        <w:pStyle w:val="Nagwek4"/>
        <w:rPr>
          <w:iCs w:val="0"/>
        </w:rPr>
      </w:pPr>
      <w:r w:rsidRPr="007E08F7">
        <w:rPr>
          <w:iCs w:val="0"/>
        </w:rPr>
        <w:t>Ukierunkowanie terytorialne</w:t>
      </w:r>
      <w:r w:rsidR="00EF7D8D" w:rsidRPr="007E08F7">
        <w:rPr>
          <w:iCs w:val="0"/>
        </w:rPr>
        <w:t xml:space="preserve"> CO 1.2 </w:t>
      </w:r>
    </w:p>
    <w:p w14:paraId="5D809411" w14:textId="77777777" w:rsidR="00C65D6A" w:rsidRPr="007E08F7" w:rsidRDefault="00C65D6A" w:rsidP="00C65D6A">
      <w:pPr>
        <w:spacing w:before="120" w:after="120" w:line="288" w:lineRule="auto"/>
        <w:rPr>
          <w:rFonts w:asciiTheme="minorHAnsi" w:hAnsiTheme="minorHAnsi"/>
        </w:rPr>
      </w:pPr>
      <w:r w:rsidRPr="007E08F7">
        <w:rPr>
          <w:rFonts w:asciiTheme="minorHAnsi" w:hAnsiTheme="minorHAnsi"/>
        </w:rPr>
        <w:t>Całe województwo, ze szczególnym uwzględnieniem pasa nadmorskiego, portów morskich, węzłów logistycznych oraz obszarów wiejskich.</w:t>
      </w:r>
    </w:p>
    <w:p w14:paraId="28BD2F09" w14:textId="583F4156" w:rsidR="00C65D6A" w:rsidRPr="007E08F7" w:rsidRDefault="00C65D6A" w:rsidP="00EE3EB1">
      <w:pPr>
        <w:pStyle w:val="Nagwek4"/>
        <w:rPr>
          <w:iCs w:val="0"/>
        </w:rPr>
      </w:pPr>
      <w:r w:rsidRPr="007E08F7">
        <w:rPr>
          <w:iCs w:val="0"/>
        </w:rPr>
        <w:t>Oczekiwane rezultaty</w:t>
      </w:r>
      <w:r w:rsidR="00EF7D8D" w:rsidRPr="007E08F7">
        <w:rPr>
          <w:iCs w:val="0"/>
        </w:rPr>
        <w:t xml:space="preserve"> CO 1.2 </w:t>
      </w:r>
    </w:p>
    <w:p w14:paraId="7CC24475" w14:textId="77777777" w:rsidR="00C65D6A" w:rsidRPr="007E08F7" w:rsidRDefault="00C65D6A">
      <w:pPr>
        <w:numPr>
          <w:ilvl w:val="0"/>
          <w:numId w:val="25"/>
        </w:numPr>
        <w:spacing w:before="120" w:after="120" w:line="288" w:lineRule="auto"/>
        <w:rPr>
          <w:rFonts w:asciiTheme="minorHAnsi" w:hAnsiTheme="minorHAnsi"/>
        </w:rPr>
      </w:pPr>
      <w:r w:rsidRPr="007E08F7">
        <w:rPr>
          <w:rFonts w:asciiTheme="minorHAnsi" w:hAnsiTheme="minorHAnsi"/>
        </w:rPr>
        <w:t xml:space="preserve">Trwała pozycja regionu jako wiodącego w skali kraju i basenu Morza Bałtyckiego </w:t>
      </w:r>
      <w:proofErr w:type="spellStart"/>
      <w:r w:rsidRPr="007E08F7">
        <w:rPr>
          <w:rFonts w:asciiTheme="minorHAnsi" w:hAnsiTheme="minorHAnsi"/>
        </w:rPr>
        <w:t>hubu</w:t>
      </w:r>
      <w:proofErr w:type="spellEnd"/>
      <w:r w:rsidRPr="007E08F7">
        <w:rPr>
          <w:rFonts w:asciiTheme="minorHAnsi" w:hAnsiTheme="minorHAnsi"/>
        </w:rPr>
        <w:t xml:space="preserve"> nowoczesnego przemysłu i logistyki, o wysokim udziale pomorskich przedsiębiorstw w łańcuchach wartości.</w:t>
      </w:r>
    </w:p>
    <w:p w14:paraId="43C934B0" w14:textId="77777777" w:rsidR="00C65D6A" w:rsidRPr="007E08F7" w:rsidRDefault="00C65D6A">
      <w:pPr>
        <w:numPr>
          <w:ilvl w:val="0"/>
          <w:numId w:val="25"/>
        </w:numPr>
        <w:spacing w:before="120" w:after="120" w:line="288" w:lineRule="auto"/>
        <w:rPr>
          <w:rFonts w:asciiTheme="minorHAnsi" w:hAnsiTheme="minorHAnsi"/>
        </w:rPr>
      </w:pPr>
      <w:r w:rsidRPr="007E08F7">
        <w:rPr>
          <w:rFonts w:asciiTheme="minorHAnsi" w:hAnsiTheme="minorHAnsi"/>
        </w:rPr>
        <w:t>Wzrost atrakcyjności inwestycyjnej regionu oraz napływu inwestycji wykorzystujących przewagi gospodarcze i energetyczne Pomorza.</w:t>
      </w:r>
    </w:p>
    <w:p w14:paraId="62EA0F53" w14:textId="55BED074" w:rsidR="00C65D6A" w:rsidRPr="007E08F7" w:rsidRDefault="00C65D6A">
      <w:pPr>
        <w:numPr>
          <w:ilvl w:val="0"/>
          <w:numId w:val="25"/>
        </w:numPr>
        <w:spacing w:before="120" w:after="120" w:line="288" w:lineRule="auto"/>
        <w:rPr>
          <w:rFonts w:asciiTheme="minorHAnsi" w:hAnsiTheme="minorHAnsi"/>
        </w:rPr>
      </w:pPr>
      <w:r w:rsidRPr="007E08F7">
        <w:rPr>
          <w:rFonts w:asciiTheme="minorHAnsi" w:hAnsiTheme="minorHAnsi"/>
        </w:rPr>
        <w:t>Rozwój przewag gospodarczych opartych na zrównoważonym wykorzystaniu regionalnych zasobów naturalnych i potencjałów wzrostu o wysokiej wartości dodanej.</w:t>
      </w:r>
      <w:r w:rsidRPr="007E08F7">
        <w:rPr>
          <w:rFonts w:asciiTheme="minorHAnsi" w:hAnsiTheme="minorHAnsi"/>
        </w:rPr>
        <w:br w:type="page"/>
      </w:r>
    </w:p>
    <w:p w14:paraId="5D4395AF" w14:textId="77A1DF12" w:rsidR="00C65D6A" w:rsidRPr="007E08F7" w:rsidRDefault="00C65D6A" w:rsidP="00EE3EB1">
      <w:pPr>
        <w:pStyle w:val="Nagwek4"/>
        <w:rPr>
          <w:iCs w:val="0"/>
        </w:rPr>
      </w:pPr>
      <w:r w:rsidRPr="007E08F7">
        <w:rPr>
          <w:iCs w:val="0"/>
        </w:rPr>
        <w:lastRenderedPageBreak/>
        <w:t>Wskaźniki</w:t>
      </w:r>
      <w:r w:rsidR="00EF7D8D" w:rsidRPr="007E08F7">
        <w:rPr>
          <w:iCs w:val="0"/>
        </w:rPr>
        <w:t xml:space="preserve"> CO 1.2 </w:t>
      </w:r>
    </w:p>
    <w:tbl>
      <w:tblPr>
        <w:tblStyle w:val="Tabela-Siatka3"/>
        <w:tblW w:w="5000" w:type="pct"/>
        <w:tblLook w:val="04A0" w:firstRow="1" w:lastRow="0" w:firstColumn="1" w:lastColumn="0" w:noHBand="0" w:noVBand="1"/>
      </w:tblPr>
      <w:tblGrid>
        <w:gridCol w:w="3683"/>
        <w:gridCol w:w="1417"/>
        <w:gridCol w:w="1985"/>
        <w:gridCol w:w="1977"/>
      </w:tblGrid>
      <w:tr w:rsidR="00C65D6A" w:rsidRPr="007E08F7" w14:paraId="7B20BC7A" w14:textId="77777777" w:rsidTr="00ED576F">
        <w:trPr>
          <w:cantSplit/>
          <w:tblHeader/>
        </w:trPr>
        <w:tc>
          <w:tcPr>
            <w:tcW w:w="2032" w:type="pct"/>
            <w:tcBorders>
              <w:right w:val="single" w:sz="4" w:space="0" w:color="FFFFFF" w:themeColor="background1"/>
            </w:tcBorders>
            <w:shd w:val="clear" w:color="auto" w:fill="153D63" w:themeFill="text2" w:themeFillTint="E6"/>
            <w:vAlign w:val="center"/>
          </w:tcPr>
          <w:p w14:paraId="04D24D71" w14:textId="77777777" w:rsidR="00C65D6A" w:rsidRPr="007E08F7" w:rsidRDefault="00C65D6A" w:rsidP="007D658A">
            <w:pPr>
              <w:rPr>
                <w:rFonts w:eastAsia="Aptos"/>
                <w:b/>
                <w:color w:val="FFFFFF" w:themeColor="background1"/>
              </w:rPr>
            </w:pPr>
            <w:r w:rsidRPr="007E08F7">
              <w:rPr>
                <w:rFonts w:eastAsia="Aptos"/>
                <w:b/>
                <w:color w:val="FFFFFF" w:themeColor="background1"/>
              </w:rPr>
              <w:t>Nazwa</w:t>
            </w:r>
          </w:p>
        </w:tc>
        <w:tc>
          <w:tcPr>
            <w:tcW w:w="782" w:type="pct"/>
            <w:tcBorders>
              <w:left w:val="single" w:sz="4" w:space="0" w:color="FFFFFF" w:themeColor="background1"/>
              <w:right w:val="single" w:sz="4" w:space="0" w:color="FFFFFF" w:themeColor="background1"/>
            </w:tcBorders>
            <w:shd w:val="clear" w:color="auto" w:fill="153D63" w:themeFill="text2" w:themeFillTint="E6"/>
            <w:vAlign w:val="center"/>
          </w:tcPr>
          <w:p w14:paraId="12F1ACFD" w14:textId="0413096D" w:rsidR="00C65D6A" w:rsidRPr="007E08F7" w:rsidRDefault="00C65D6A" w:rsidP="007D658A">
            <w:pPr>
              <w:rPr>
                <w:rFonts w:eastAsia="Aptos"/>
                <w:b/>
                <w:color w:val="FFFFFF" w:themeColor="background1"/>
              </w:rPr>
            </w:pPr>
            <w:r w:rsidRPr="007E08F7">
              <w:rPr>
                <w:rFonts w:eastAsia="Aptos"/>
                <w:b/>
                <w:color w:val="FFFFFF" w:themeColor="background1"/>
              </w:rPr>
              <w:t>Wartość bazowa</w:t>
            </w:r>
          </w:p>
        </w:tc>
        <w:tc>
          <w:tcPr>
            <w:tcW w:w="1095" w:type="pct"/>
            <w:tcBorders>
              <w:left w:val="single" w:sz="4" w:space="0" w:color="FFFFFF" w:themeColor="background1"/>
              <w:right w:val="single" w:sz="4" w:space="0" w:color="FFFFFF" w:themeColor="background1"/>
            </w:tcBorders>
            <w:shd w:val="clear" w:color="auto" w:fill="153D63" w:themeFill="text2" w:themeFillTint="E6"/>
            <w:vAlign w:val="center"/>
          </w:tcPr>
          <w:p w14:paraId="5C861D95" w14:textId="77777777" w:rsidR="00C65D6A" w:rsidRPr="007E08F7" w:rsidRDefault="00C65D6A" w:rsidP="007D658A">
            <w:pPr>
              <w:rPr>
                <w:rFonts w:eastAsia="Aptos"/>
                <w:b/>
                <w:color w:val="FFFFFF" w:themeColor="background1"/>
              </w:rPr>
            </w:pPr>
            <w:r w:rsidRPr="007E08F7">
              <w:rPr>
                <w:rFonts w:eastAsia="Aptos"/>
                <w:b/>
                <w:color w:val="FFFFFF" w:themeColor="background1"/>
              </w:rPr>
              <w:t>Wartość docelowa</w:t>
            </w:r>
          </w:p>
        </w:tc>
        <w:tc>
          <w:tcPr>
            <w:tcW w:w="1092" w:type="pct"/>
            <w:tcBorders>
              <w:left w:val="single" w:sz="4" w:space="0" w:color="FFFFFF" w:themeColor="background1"/>
            </w:tcBorders>
            <w:shd w:val="clear" w:color="auto" w:fill="153D63" w:themeFill="text2" w:themeFillTint="E6"/>
            <w:vAlign w:val="center"/>
          </w:tcPr>
          <w:p w14:paraId="2029B566" w14:textId="77777777" w:rsidR="00C65D6A" w:rsidRPr="007E08F7" w:rsidRDefault="00C65D6A" w:rsidP="007D658A">
            <w:pPr>
              <w:rPr>
                <w:rFonts w:eastAsia="Aptos"/>
                <w:b/>
                <w:color w:val="FFFFFF" w:themeColor="background1"/>
              </w:rPr>
            </w:pPr>
            <w:r w:rsidRPr="007E08F7">
              <w:rPr>
                <w:rFonts w:eastAsia="Aptos"/>
                <w:b/>
                <w:color w:val="FFFFFF" w:themeColor="background1"/>
              </w:rPr>
              <w:t>Źródło danych</w:t>
            </w:r>
          </w:p>
        </w:tc>
      </w:tr>
      <w:tr w:rsidR="00DF66D3" w:rsidRPr="007E08F7" w14:paraId="6889885D" w14:textId="77777777" w:rsidTr="00ED576F">
        <w:trPr>
          <w:cantSplit/>
        </w:trPr>
        <w:tc>
          <w:tcPr>
            <w:tcW w:w="2032" w:type="pct"/>
            <w:vAlign w:val="center"/>
          </w:tcPr>
          <w:p w14:paraId="31EB9DE4" w14:textId="4B085CF1" w:rsidR="00DF66D3" w:rsidRPr="007E08F7" w:rsidRDefault="00DF66D3" w:rsidP="006059BE">
            <w:pPr>
              <w:spacing w:line="276" w:lineRule="auto"/>
              <w:rPr>
                <w:rFonts w:eastAsia="Aptos"/>
              </w:rPr>
            </w:pPr>
            <w:r w:rsidRPr="007E08F7">
              <w:rPr>
                <w:rFonts w:eastAsia="Aptos" w:cs="Aptos"/>
                <w:bCs/>
              </w:rPr>
              <w:t>Udział portów morskich województwa pomorskiego w</w:t>
            </w:r>
            <w:r w:rsidR="006059BE" w:rsidRPr="007E08F7">
              <w:rPr>
                <w:rFonts w:eastAsia="Aptos" w:cs="Aptos"/>
                <w:bCs/>
              </w:rPr>
              <w:t> </w:t>
            </w:r>
            <w:r w:rsidRPr="007E08F7">
              <w:rPr>
                <w:rFonts w:eastAsia="Aptos" w:cs="Aptos"/>
                <w:bCs/>
              </w:rPr>
              <w:t>przeładunkach kontenerów w UE [TEU]</w:t>
            </w:r>
          </w:p>
        </w:tc>
        <w:tc>
          <w:tcPr>
            <w:tcW w:w="782" w:type="pct"/>
            <w:vAlign w:val="center"/>
          </w:tcPr>
          <w:p w14:paraId="3714FA30" w14:textId="3CEC8EA8" w:rsidR="00DF66D3" w:rsidRPr="007E08F7" w:rsidRDefault="00DF66D3" w:rsidP="006059BE">
            <w:pPr>
              <w:spacing w:line="276" w:lineRule="auto"/>
              <w:rPr>
                <w:rFonts w:eastAsia="Aptos"/>
              </w:rPr>
            </w:pPr>
            <w:r w:rsidRPr="007E08F7">
              <w:rPr>
                <w:rFonts w:eastAsia="Aptos" w:cs="Aptos"/>
              </w:rPr>
              <w:t>3,0%</w:t>
            </w:r>
            <w:r w:rsidRPr="007E08F7">
              <w:rPr>
                <w:rFonts w:eastAsia="Aptos" w:cs="Aptos"/>
              </w:rPr>
              <w:br/>
              <w:t>(2024)</w:t>
            </w:r>
          </w:p>
        </w:tc>
        <w:tc>
          <w:tcPr>
            <w:tcW w:w="1095" w:type="pct"/>
            <w:vAlign w:val="center"/>
          </w:tcPr>
          <w:p w14:paraId="2A84FB91" w14:textId="13000D83" w:rsidR="00DF66D3" w:rsidRPr="007E08F7" w:rsidRDefault="00DF66D3" w:rsidP="006059BE">
            <w:pPr>
              <w:spacing w:line="276" w:lineRule="auto"/>
              <w:rPr>
                <w:rFonts w:eastAsia="Aptos"/>
              </w:rPr>
            </w:pPr>
            <w:r w:rsidRPr="007E08F7">
              <w:rPr>
                <w:rFonts w:eastAsia="Aptos" w:cs="Aptos"/>
              </w:rPr>
              <w:t>do uzupełnienia</w:t>
            </w:r>
          </w:p>
        </w:tc>
        <w:tc>
          <w:tcPr>
            <w:tcW w:w="1092" w:type="pct"/>
            <w:vAlign w:val="center"/>
          </w:tcPr>
          <w:p w14:paraId="4AB3A338" w14:textId="77EC7D71" w:rsidR="00DF66D3" w:rsidRPr="007E08F7" w:rsidRDefault="00DF66D3" w:rsidP="006059BE">
            <w:pPr>
              <w:spacing w:line="276" w:lineRule="auto"/>
              <w:rPr>
                <w:rFonts w:eastAsia="Aptos"/>
              </w:rPr>
            </w:pPr>
            <w:r w:rsidRPr="007E08F7">
              <w:rPr>
                <w:rFonts w:eastAsia="Aptos"/>
              </w:rPr>
              <w:t>Obliczenia własne na</w:t>
            </w:r>
            <w:r w:rsidR="006059BE" w:rsidRPr="007E08F7">
              <w:rPr>
                <w:rFonts w:eastAsia="Aptos"/>
              </w:rPr>
              <w:t> </w:t>
            </w:r>
            <w:r w:rsidRPr="007E08F7">
              <w:rPr>
                <w:rFonts w:eastAsia="Aptos"/>
              </w:rPr>
              <w:t>podstawie danych Eurostat</w:t>
            </w:r>
          </w:p>
        </w:tc>
      </w:tr>
      <w:tr w:rsidR="00DF66D3" w:rsidRPr="007E08F7" w14:paraId="0D2E0EF3" w14:textId="77777777" w:rsidTr="00ED576F">
        <w:tc>
          <w:tcPr>
            <w:tcW w:w="2032" w:type="pct"/>
            <w:vAlign w:val="center"/>
            <w:hideMark/>
          </w:tcPr>
          <w:p w14:paraId="7F413CA3" w14:textId="3318404B" w:rsidR="00DF66D3" w:rsidRPr="007E08F7" w:rsidRDefault="00DF66D3" w:rsidP="006059BE">
            <w:pPr>
              <w:spacing w:line="276" w:lineRule="auto"/>
            </w:pPr>
            <w:r w:rsidRPr="007E08F7">
              <w:rPr>
                <w:rFonts w:eastAsia="Aptos"/>
              </w:rPr>
              <w:t>Wartość eksportu na 1 mieszkańca</w:t>
            </w:r>
          </w:p>
        </w:tc>
        <w:tc>
          <w:tcPr>
            <w:tcW w:w="782" w:type="pct"/>
            <w:vAlign w:val="center"/>
            <w:hideMark/>
          </w:tcPr>
          <w:p w14:paraId="5A767180" w14:textId="4A3D0768" w:rsidR="00DF66D3" w:rsidRPr="007E08F7" w:rsidRDefault="00DF66D3" w:rsidP="006059BE">
            <w:pPr>
              <w:spacing w:line="276" w:lineRule="auto"/>
            </w:pPr>
            <w:r w:rsidRPr="007E08F7">
              <w:rPr>
                <w:rFonts w:eastAsia="Aptos"/>
              </w:rPr>
              <w:t xml:space="preserve">28,6 tys. zł </w:t>
            </w:r>
            <w:r w:rsidRPr="007E08F7">
              <w:rPr>
                <w:rFonts w:eastAsia="Aptos"/>
              </w:rPr>
              <w:br/>
              <w:t>(2025)</w:t>
            </w:r>
          </w:p>
        </w:tc>
        <w:tc>
          <w:tcPr>
            <w:tcW w:w="1095" w:type="pct"/>
            <w:vAlign w:val="center"/>
            <w:hideMark/>
          </w:tcPr>
          <w:p w14:paraId="00274776" w14:textId="3F6167EA" w:rsidR="00DF66D3" w:rsidRPr="007E08F7" w:rsidRDefault="00DF66D3" w:rsidP="006059BE">
            <w:pPr>
              <w:spacing w:line="276" w:lineRule="auto"/>
            </w:pPr>
            <w:r w:rsidRPr="007E08F7">
              <w:rPr>
                <w:rFonts w:eastAsia="Aptos"/>
              </w:rPr>
              <w:t>do uzupełnienia</w:t>
            </w:r>
          </w:p>
        </w:tc>
        <w:tc>
          <w:tcPr>
            <w:tcW w:w="1092" w:type="pct"/>
            <w:vAlign w:val="center"/>
            <w:hideMark/>
          </w:tcPr>
          <w:p w14:paraId="7DED2193" w14:textId="00680345" w:rsidR="00DF66D3" w:rsidRPr="007E08F7" w:rsidRDefault="00DF66D3" w:rsidP="006059BE">
            <w:pPr>
              <w:spacing w:line="276" w:lineRule="auto"/>
            </w:pPr>
            <w:r w:rsidRPr="007E08F7">
              <w:rPr>
                <w:rFonts w:eastAsia="Aptos"/>
              </w:rPr>
              <w:t>Obliczenia własne na</w:t>
            </w:r>
            <w:r w:rsidR="006059BE" w:rsidRPr="007E08F7">
              <w:rPr>
                <w:rFonts w:eastAsia="Aptos"/>
              </w:rPr>
              <w:t> </w:t>
            </w:r>
            <w:r w:rsidRPr="007E08F7">
              <w:rPr>
                <w:rFonts w:eastAsia="Aptos"/>
              </w:rPr>
              <w:t>podstawie danych KAS i</w:t>
            </w:r>
            <w:r w:rsidR="006059BE" w:rsidRPr="007E08F7">
              <w:rPr>
                <w:rFonts w:eastAsia="Aptos"/>
              </w:rPr>
              <w:t> </w:t>
            </w:r>
            <w:r w:rsidRPr="007E08F7">
              <w:rPr>
                <w:rFonts w:eastAsia="Aptos"/>
              </w:rPr>
              <w:t>GUS</w:t>
            </w:r>
          </w:p>
        </w:tc>
      </w:tr>
      <w:tr w:rsidR="00DF66D3" w:rsidRPr="007E08F7" w14:paraId="5F147BCE" w14:textId="77777777" w:rsidTr="00ED576F">
        <w:trPr>
          <w:cantSplit/>
        </w:trPr>
        <w:tc>
          <w:tcPr>
            <w:tcW w:w="2032" w:type="pct"/>
            <w:vAlign w:val="center"/>
          </w:tcPr>
          <w:p w14:paraId="3B003C98" w14:textId="54D0779D" w:rsidR="00DF66D3" w:rsidRPr="007E08F7" w:rsidRDefault="00DF66D3" w:rsidP="006059BE">
            <w:pPr>
              <w:spacing w:line="276" w:lineRule="auto"/>
              <w:rPr>
                <w:rFonts w:eastAsia="Aptos"/>
              </w:rPr>
            </w:pPr>
            <w:r w:rsidRPr="007E08F7">
              <w:rPr>
                <w:rFonts w:eastAsia="Aptos"/>
              </w:rPr>
              <w:t>Udział turystów korzystających</w:t>
            </w:r>
            <w:r w:rsidR="006059BE" w:rsidRPr="007E08F7">
              <w:rPr>
                <w:rFonts w:eastAsia="Aptos"/>
              </w:rPr>
              <w:t> </w:t>
            </w:r>
            <w:r w:rsidRPr="007E08F7">
              <w:rPr>
                <w:rFonts w:eastAsia="Aptos"/>
              </w:rPr>
              <w:t>z</w:t>
            </w:r>
            <w:r w:rsidR="006059BE" w:rsidRPr="007E08F7">
              <w:rPr>
                <w:rFonts w:eastAsia="Aptos"/>
              </w:rPr>
              <w:t> </w:t>
            </w:r>
            <w:r w:rsidRPr="007E08F7">
              <w:rPr>
                <w:rFonts w:eastAsia="Aptos"/>
              </w:rPr>
              <w:t>noclegów poza</w:t>
            </w:r>
            <w:r w:rsidR="006059BE" w:rsidRPr="007E08F7">
              <w:rPr>
                <w:rFonts w:eastAsia="Aptos"/>
              </w:rPr>
              <w:t> </w:t>
            </w:r>
            <w:r w:rsidRPr="007E08F7">
              <w:rPr>
                <w:rFonts w:eastAsia="Aptos"/>
              </w:rPr>
              <w:t>letnim sezonem turystycznym (październik – kwiecień)</w:t>
            </w:r>
          </w:p>
        </w:tc>
        <w:tc>
          <w:tcPr>
            <w:tcW w:w="782" w:type="pct"/>
            <w:vAlign w:val="center"/>
          </w:tcPr>
          <w:p w14:paraId="13217587" w14:textId="5C899D26" w:rsidR="00DF66D3" w:rsidRPr="007E08F7" w:rsidRDefault="00DF66D3" w:rsidP="006059BE">
            <w:pPr>
              <w:spacing w:line="276" w:lineRule="auto"/>
              <w:rPr>
                <w:rFonts w:eastAsia="Aptos"/>
              </w:rPr>
            </w:pPr>
            <w:r w:rsidRPr="007E08F7">
              <w:rPr>
                <w:rFonts w:eastAsia="Aptos"/>
              </w:rPr>
              <w:t>41,6%</w:t>
            </w:r>
            <w:r w:rsidRPr="007E08F7">
              <w:rPr>
                <w:rFonts w:eastAsia="Aptos"/>
              </w:rPr>
              <w:br/>
              <w:t>(2025)</w:t>
            </w:r>
          </w:p>
        </w:tc>
        <w:tc>
          <w:tcPr>
            <w:tcW w:w="1095" w:type="pct"/>
            <w:vAlign w:val="center"/>
          </w:tcPr>
          <w:p w14:paraId="05A67B83" w14:textId="7D575F40" w:rsidR="00DF66D3" w:rsidRPr="007E08F7" w:rsidRDefault="00DF66D3" w:rsidP="006059BE">
            <w:pPr>
              <w:spacing w:line="276" w:lineRule="auto"/>
              <w:rPr>
                <w:rFonts w:eastAsia="Aptos"/>
              </w:rPr>
            </w:pPr>
            <w:r w:rsidRPr="007E08F7">
              <w:rPr>
                <w:rFonts w:eastAsia="Aptos"/>
              </w:rPr>
              <w:t>do uzupełnienia</w:t>
            </w:r>
          </w:p>
        </w:tc>
        <w:tc>
          <w:tcPr>
            <w:tcW w:w="1092" w:type="pct"/>
            <w:vAlign w:val="center"/>
          </w:tcPr>
          <w:p w14:paraId="5EDCFE4B" w14:textId="369B8625" w:rsidR="00DF66D3" w:rsidRPr="007E08F7" w:rsidRDefault="00DF66D3" w:rsidP="006059BE">
            <w:pPr>
              <w:spacing w:line="276" w:lineRule="auto"/>
              <w:rPr>
                <w:rFonts w:eastAsia="Aptos"/>
              </w:rPr>
            </w:pPr>
            <w:r w:rsidRPr="007E08F7">
              <w:rPr>
                <w:rFonts w:eastAsia="Aptos"/>
              </w:rPr>
              <w:t>Obliczenia własne na</w:t>
            </w:r>
            <w:r w:rsidR="006059BE" w:rsidRPr="007E08F7">
              <w:rPr>
                <w:rFonts w:eastAsia="Aptos"/>
              </w:rPr>
              <w:t> </w:t>
            </w:r>
            <w:r w:rsidRPr="007E08F7">
              <w:rPr>
                <w:rFonts w:eastAsia="Aptos"/>
              </w:rPr>
              <w:t>podstawie danych GUS</w:t>
            </w:r>
          </w:p>
        </w:tc>
      </w:tr>
    </w:tbl>
    <w:p w14:paraId="041BBEBA" w14:textId="4C1946C1" w:rsidR="00C65D6A" w:rsidRPr="007E08F7" w:rsidRDefault="00C65D6A" w:rsidP="006059BE">
      <w:pPr>
        <w:pStyle w:val="Nagwek4"/>
        <w:spacing w:before="360"/>
        <w:rPr>
          <w:iCs w:val="0"/>
        </w:rPr>
      </w:pPr>
      <w:r w:rsidRPr="007E08F7">
        <w:rPr>
          <w:iCs w:val="0"/>
        </w:rPr>
        <w:t>Postulaty wobec władz centralnych</w:t>
      </w:r>
      <w:r w:rsidR="00EF7D8D" w:rsidRPr="007E08F7">
        <w:rPr>
          <w:iCs w:val="0"/>
        </w:rPr>
        <w:t xml:space="preserve"> CO 1.2 </w:t>
      </w:r>
    </w:p>
    <w:p w14:paraId="37708CAF" w14:textId="77777777" w:rsidR="00C65D6A" w:rsidRPr="007E08F7" w:rsidRDefault="00C65D6A">
      <w:pPr>
        <w:pStyle w:val="Akapitzlist"/>
        <w:numPr>
          <w:ilvl w:val="0"/>
          <w:numId w:val="43"/>
        </w:numPr>
        <w:spacing w:before="120" w:after="120" w:line="288" w:lineRule="auto"/>
        <w:ind w:left="425" w:hanging="425"/>
        <w:contextualSpacing w:val="0"/>
        <w:rPr>
          <w:rFonts w:asciiTheme="minorHAnsi" w:hAnsiTheme="minorHAnsi"/>
        </w:rPr>
      </w:pPr>
      <w:r w:rsidRPr="007E08F7">
        <w:rPr>
          <w:rFonts w:asciiTheme="minorHAnsi" w:hAnsiTheme="minorHAnsi"/>
        </w:rPr>
        <w:t>Zapewnienie stabilnego finansowania strategicznych inwestycji infrastrukturalnych w portach morskich wzmacniających ich dostępność, w szczególności od strony lądu, krajowe i międzynarodowe powiązania transportowo-logistyczne oraz zwiększających konkurencyjność i odporność funkcjonowania.</w:t>
      </w:r>
    </w:p>
    <w:p w14:paraId="25E055BF" w14:textId="77777777" w:rsidR="00C65D6A" w:rsidRPr="007E08F7" w:rsidRDefault="00C65D6A">
      <w:pPr>
        <w:pStyle w:val="Akapitzlist"/>
        <w:numPr>
          <w:ilvl w:val="0"/>
          <w:numId w:val="43"/>
        </w:numPr>
        <w:spacing w:before="120" w:after="120" w:line="288" w:lineRule="auto"/>
        <w:ind w:left="425" w:hanging="425"/>
        <w:contextualSpacing w:val="0"/>
        <w:rPr>
          <w:rFonts w:asciiTheme="minorHAnsi" w:hAnsiTheme="minorHAnsi"/>
        </w:rPr>
      </w:pPr>
      <w:r w:rsidRPr="007E08F7">
        <w:rPr>
          <w:rFonts w:asciiTheme="minorHAnsi" w:hAnsiTheme="minorHAnsi"/>
        </w:rPr>
        <w:t>Wzmocnienie mechanizmów współpracy pomiędzy administracją centralną, samorządami, portami i przedsiębiorstwami umożliwiających wspólne planowanie, koordynowanie i realizację działań.</w:t>
      </w:r>
    </w:p>
    <w:p w14:paraId="00094C6D" w14:textId="4CE91BE7" w:rsidR="003A29FC" w:rsidRPr="007E08F7" w:rsidRDefault="00C65D6A">
      <w:pPr>
        <w:pStyle w:val="Akapitzlist"/>
        <w:numPr>
          <w:ilvl w:val="0"/>
          <w:numId w:val="43"/>
        </w:numPr>
        <w:spacing w:before="120" w:after="120" w:line="288" w:lineRule="auto"/>
        <w:ind w:left="425" w:hanging="425"/>
        <w:contextualSpacing w:val="0"/>
        <w:rPr>
          <w:rFonts w:asciiTheme="minorHAnsi" w:hAnsiTheme="minorHAnsi"/>
        </w:rPr>
      </w:pPr>
      <w:r w:rsidRPr="007E08F7">
        <w:rPr>
          <w:rFonts w:asciiTheme="minorHAnsi" w:hAnsiTheme="minorHAnsi"/>
        </w:rPr>
        <w:t>Wprowadzenie na poziomie krajowym zamian w zakresie ram prawno-regulacyjnych wpływających na wzrost konkurencyjności, odporności i sprawnego funkcjonowania gospodarki portowo-morskiej</w:t>
      </w:r>
      <w:r w:rsidR="003A29FC" w:rsidRPr="007E08F7">
        <w:rPr>
          <w:rFonts w:asciiTheme="minorHAnsi" w:hAnsiTheme="minorHAnsi"/>
        </w:rPr>
        <w:t>.</w:t>
      </w:r>
      <w:r w:rsidR="003A29FC" w:rsidRPr="007E08F7">
        <w:rPr>
          <w:rFonts w:asciiTheme="minorHAnsi" w:hAnsiTheme="minorHAnsi"/>
        </w:rPr>
        <w:br w:type="page"/>
      </w:r>
    </w:p>
    <w:p w14:paraId="7FC5B1F5" w14:textId="77777777" w:rsidR="003A29FC" w:rsidRPr="007E08F7" w:rsidRDefault="003A29FC" w:rsidP="002F715A">
      <w:pPr>
        <w:pStyle w:val="Nagwek3"/>
      </w:pPr>
      <w:bookmarkStart w:id="52" w:name="_Toc239772079"/>
      <w:r w:rsidRPr="007E08F7">
        <w:lastRenderedPageBreak/>
        <w:t>Cel operacyjny 1.3. Energia dla wzrostu</w:t>
      </w:r>
      <w:bookmarkEnd w:id="52"/>
    </w:p>
    <w:p w14:paraId="5E490554" w14:textId="08BEC0BB" w:rsidR="003A29FC" w:rsidRPr="007E08F7" w:rsidRDefault="003A29FC" w:rsidP="00B32464">
      <w:pPr>
        <w:pStyle w:val="Nagwek4"/>
        <w:rPr>
          <w:iCs w:val="0"/>
        </w:rPr>
      </w:pPr>
      <w:r w:rsidRPr="007E08F7">
        <w:rPr>
          <w:iCs w:val="0"/>
        </w:rPr>
        <w:t>Przesłanki realizacji Celu operacyjnego</w:t>
      </w:r>
      <w:r w:rsidR="00EF7D8D" w:rsidRPr="007E08F7">
        <w:rPr>
          <w:iCs w:val="0"/>
        </w:rPr>
        <w:t xml:space="preserve"> 1.3</w:t>
      </w:r>
    </w:p>
    <w:p w14:paraId="1352D5DE" w14:textId="07A8F403" w:rsidR="0050060C" w:rsidRPr="007E08F7" w:rsidRDefault="0050060C" w:rsidP="0050060C">
      <w:pPr>
        <w:spacing w:before="120" w:after="120" w:line="288" w:lineRule="auto"/>
        <w:rPr>
          <w:rFonts w:asciiTheme="minorHAnsi" w:eastAsia="Aptos" w:hAnsiTheme="minorHAnsi"/>
        </w:rPr>
      </w:pPr>
      <w:r w:rsidRPr="007E08F7">
        <w:rPr>
          <w:rFonts w:asciiTheme="minorHAnsi" w:eastAsia="Aptos" w:hAnsiTheme="minorHAnsi"/>
        </w:rPr>
        <w:t xml:space="preserve">Transformacja energetyczna stanowi fundament nowoczesnej gospodarki i </w:t>
      </w:r>
      <w:r w:rsidR="004A3325" w:rsidRPr="007E08F7">
        <w:rPr>
          <w:rFonts w:asciiTheme="minorHAnsi" w:eastAsia="Aptos" w:hAnsiTheme="minorHAnsi"/>
        </w:rPr>
        <w:t xml:space="preserve">wzmacnia </w:t>
      </w:r>
      <w:r w:rsidRPr="007E08F7">
        <w:rPr>
          <w:rFonts w:asciiTheme="minorHAnsi" w:eastAsia="Aptos" w:hAnsiTheme="minorHAnsi"/>
        </w:rPr>
        <w:t>bezpieczeństw</w:t>
      </w:r>
      <w:r w:rsidR="004A3325" w:rsidRPr="007E08F7">
        <w:rPr>
          <w:rFonts w:asciiTheme="minorHAnsi" w:eastAsia="Aptos" w:hAnsiTheme="minorHAnsi"/>
        </w:rPr>
        <w:t>o</w:t>
      </w:r>
      <w:r w:rsidRPr="007E08F7">
        <w:rPr>
          <w:rFonts w:asciiTheme="minorHAnsi" w:eastAsia="Aptos" w:hAnsiTheme="minorHAnsi"/>
        </w:rPr>
        <w:t xml:space="preserve"> regionu. Realizacja strategicznych inwestycji – elektrowni jądrowej oraz morskich farm wiatrowych</w:t>
      </w:r>
      <w:r w:rsidR="004A3325" w:rsidRPr="007E08F7">
        <w:rPr>
          <w:rFonts w:asciiTheme="minorHAnsi" w:eastAsia="Aptos" w:hAnsiTheme="minorHAnsi"/>
        </w:rPr>
        <w:t xml:space="preserve"> </w:t>
      </w:r>
      <w:r w:rsidRPr="007E08F7">
        <w:rPr>
          <w:rFonts w:asciiTheme="minorHAnsi" w:eastAsia="Aptos" w:hAnsiTheme="minorHAnsi"/>
        </w:rPr>
        <w:t>na</w:t>
      </w:r>
      <w:r w:rsidR="004A3325" w:rsidRPr="007E08F7">
        <w:rPr>
          <w:rFonts w:asciiTheme="minorHAnsi" w:eastAsia="Aptos" w:hAnsiTheme="minorHAnsi"/>
        </w:rPr>
        <w:t xml:space="preserve"> </w:t>
      </w:r>
      <w:r w:rsidRPr="007E08F7">
        <w:rPr>
          <w:rFonts w:asciiTheme="minorHAnsi" w:eastAsia="Aptos" w:hAnsiTheme="minorHAnsi"/>
        </w:rPr>
        <w:t>Morzu Bałtyckim – wraz z rozbudową nowoczesnej infrastruktury energetycznej</w:t>
      </w:r>
      <w:r w:rsidRPr="007E08F7">
        <w:rPr>
          <w:rFonts w:asciiTheme="minorHAnsi" w:hAnsiTheme="minorHAnsi"/>
        </w:rPr>
        <w:t xml:space="preserve"> </w:t>
      </w:r>
      <w:r w:rsidRPr="007E08F7">
        <w:rPr>
          <w:rFonts w:asciiTheme="minorHAnsi" w:eastAsia="Aptos" w:hAnsiTheme="minorHAnsi"/>
        </w:rPr>
        <w:t>sprawiają, że województwo pomorskie stanie się strategicznym centrum transformacji energetycznej całej Polski.</w:t>
      </w:r>
    </w:p>
    <w:p w14:paraId="6BE35766" w14:textId="77777777" w:rsidR="0050060C" w:rsidRPr="007E08F7" w:rsidRDefault="0050060C" w:rsidP="0050060C">
      <w:pPr>
        <w:spacing w:before="120" w:after="120" w:line="288" w:lineRule="auto"/>
        <w:rPr>
          <w:rFonts w:asciiTheme="minorHAnsi" w:eastAsia="Aptos" w:hAnsiTheme="minorHAnsi"/>
        </w:rPr>
      </w:pPr>
      <w:r w:rsidRPr="007E08F7">
        <w:rPr>
          <w:rFonts w:asciiTheme="minorHAnsi" w:eastAsia="Aptos" w:hAnsiTheme="minorHAnsi"/>
        </w:rPr>
        <w:t>Proces ten sprzyja rozwojowi nowoczesnych funkcji przemysłowych oraz zwiększaniu udziału pomorskich przedsiębiorstw w przedsięwzięciach związanych z transformacją energetyczną. Rozwój bezpiecznego, stabilnego i elastycznego systemu energetycznego jest jednocześnie jednym z podstawowych warunków rozwoju nowoczesnej gospodarki, wzrostu inwestycji oraz budowania odporności województwa na wyzwania geopolityczne, klimatyczne i gospodarcze.</w:t>
      </w:r>
    </w:p>
    <w:p w14:paraId="0B9CD546" w14:textId="77777777" w:rsidR="0050060C" w:rsidRPr="007E08F7" w:rsidRDefault="0050060C" w:rsidP="0050060C">
      <w:pPr>
        <w:spacing w:before="120" w:after="120" w:line="288" w:lineRule="auto"/>
        <w:rPr>
          <w:rFonts w:asciiTheme="minorHAnsi" w:eastAsia="Aptos" w:hAnsiTheme="minorHAnsi"/>
        </w:rPr>
      </w:pPr>
      <w:r w:rsidRPr="007E08F7">
        <w:rPr>
          <w:rFonts w:asciiTheme="minorHAnsi" w:eastAsia="Aptos" w:hAnsiTheme="minorHAnsi"/>
        </w:rPr>
        <w:t xml:space="preserve">Szczególnego znaczenia nabiera rozwój rozwiązań pozwalających zużywać energię blisko miejsca jej wytworzenia. Przestarzała i przeciążona infrastruktura przesyłowa, w tym wymagające modernizacji sieci niskiego napięcia, ograniczają możliwość przyłączania nowych </w:t>
      </w:r>
      <w:proofErr w:type="spellStart"/>
      <w:r w:rsidRPr="007E08F7">
        <w:rPr>
          <w:rFonts w:asciiTheme="minorHAnsi" w:eastAsia="Aptos" w:hAnsiTheme="minorHAnsi"/>
        </w:rPr>
        <w:t>mikroinstalacji</w:t>
      </w:r>
      <w:proofErr w:type="spellEnd"/>
      <w:r w:rsidRPr="007E08F7">
        <w:rPr>
          <w:rFonts w:asciiTheme="minorHAnsi" w:eastAsia="Aptos" w:hAnsiTheme="minorHAnsi"/>
        </w:rPr>
        <w:t xml:space="preserve"> OZE i magazynów energii u odbiorców końcowych. Ogranicza to zdolność systemu do pełnego wykorzystania jego potencjału, pomimo dynamicznego przyrostu mocy z OZE.</w:t>
      </w:r>
    </w:p>
    <w:p w14:paraId="1AAEA397" w14:textId="412808E1" w:rsidR="0050060C" w:rsidRPr="007E08F7" w:rsidRDefault="0050060C" w:rsidP="0050060C">
      <w:pPr>
        <w:spacing w:before="120" w:after="120" w:line="288" w:lineRule="auto"/>
        <w:rPr>
          <w:rFonts w:asciiTheme="minorHAnsi" w:eastAsia="Aptos" w:hAnsiTheme="minorHAnsi"/>
        </w:rPr>
      </w:pPr>
      <w:r w:rsidRPr="007E08F7">
        <w:rPr>
          <w:rFonts w:asciiTheme="minorHAnsi" w:eastAsia="Aptos" w:hAnsiTheme="minorHAnsi"/>
        </w:rPr>
        <w:t>Kluczowy jest rozwój energetyki rozproszonej, w tym tworzenie lokalnych obszarów bilansowania, z uwzględnieniem transformacji lokalnych systemów ciepłowniczych, w</w:t>
      </w:r>
      <w:r w:rsidR="0076110A" w:rsidRPr="007E08F7">
        <w:rPr>
          <w:rFonts w:asciiTheme="minorHAnsi" w:eastAsia="Aptos" w:hAnsiTheme="minorHAnsi"/>
        </w:rPr>
        <w:t> </w:t>
      </w:r>
      <w:r w:rsidRPr="007E08F7">
        <w:rPr>
          <w:rFonts w:asciiTheme="minorHAnsi" w:eastAsia="Aptos" w:hAnsiTheme="minorHAnsi"/>
        </w:rPr>
        <w:t xml:space="preserve">celu zwiększenia poziomu </w:t>
      </w:r>
      <w:proofErr w:type="spellStart"/>
      <w:r w:rsidRPr="007E08F7">
        <w:rPr>
          <w:rFonts w:asciiTheme="minorHAnsi" w:eastAsia="Aptos" w:hAnsiTheme="minorHAnsi"/>
        </w:rPr>
        <w:t>autokonsumpcji</w:t>
      </w:r>
      <w:proofErr w:type="spellEnd"/>
      <w:r w:rsidRPr="007E08F7">
        <w:rPr>
          <w:rFonts w:asciiTheme="minorHAnsi" w:eastAsia="Aptos" w:hAnsiTheme="minorHAnsi"/>
        </w:rPr>
        <w:t xml:space="preserve"> energii w skali lokalnej. Konieczny jest także rozwój nowych rozwiązań technologicznych w energetyce, takich jak magazyny energii, technologie wodorowe, biopaliwa.</w:t>
      </w:r>
    </w:p>
    <w:p w14:paraId="38C6A46F" w14:textId="12D2F57A" w:rsidR="0050060C" w:rsidRPr="007E08F7" w:rsidRDefault="0050060C" w:rsidP="0050060C">
      <w:pPr>
        <w:spacing w:before="120" w:after="120" w:line="288" w:lineRule="auto"/>
        <w:rPr>
          <w:rFonts w:asciiTheme="minorHAnsi" w:eastAsia="Aptos" w:hAnsiTheme="minorHAnsi"/>
        </w:rPr>
      </w:pPr>
      <w:r w:rsidRPr="007E08F7">
        <w:rPr>
          <w:rFonts w:asciiTheme="minorHAnsi" w:eastAsia="Aptos" w:hAnsiTheme="minorHAnsi"/>
        </w:rPr>
        <w:t>Istotną kwestią jest ścisłe powiązanie strategicznych inwestycji w sektorze energetycznym z rozwojem lokalnego potencjału gospodarczego, tak aby szanse i</w:t>
      </w:r>
      <w:r w:rsidR="0076110A" w:rsidRPr="007E08F7">
        <w:rPr>
          <w:rFonts w:asciiTheme="minorHAnsi" w:eastAsia="Aptos" w:hAnsiTheme="minorHAnsi"/>
        </w:rPr>
        <w:t> </w:t>
      </w:r>
      <w:r w:rsidRPr="007E08F7">
        <w:rPr>
          <w:rFonts w:asciiTheme="minorHAnsi" w:eastAsia="Aptos" w:hAnsiTheme="minorHAnsi"/>
        </w:rPr>
        <w:t xml:space="preserve">korzyści z transformacji w jak największym stopniu trafiały do pomorskich przedsiębiorstw. Wymaga to wzmacniania zdolności lokalnych przedsiębiorstw do włączenia w rozwój sektora </w:t>
      </w:r>
      <w:r w:rsidR="00A56875" w:rsidRPr="007E08F7">
        <w:rPr>
          <w:rFonts w:asciiTheme="minorHAnsi" w:eastAsia="Aptos" w:hAnsiTheme="minorHAnsi"/>
        </w:rPr>
        <w:t xml:space="preserve">energetyki </w:t>
      </w:r>
      <w:r w:rsidRPr="007E08F7">
        <w:rPr>
          <w:rFonts w:asciiTheme="minorHAnsi" w:eastAsia="Aptos" w:hAnsiTheme="minorHAnsi"/>
        </w:rPr>
        <w:t>jądrowe</w:t>
      </w:r>
      <w:r w:rsidR="00A56875" w:rsidRPr="007E08F7">
        <w:rPr>
          <w:rFonts w:asciiTheme="minorHAnsi" w:eastAsia="Aptos" w:hAnsiTheme="minorHAnsi"/>
        </w:rPr>
        <w:t>j</w:t>
      </w:r>
      <w:r w:rsidRPr="007E08F7">
        <w:rPr>
          <w:rFonts w:asciiTheme="minorHAnsi" w:eastAsia="Aptos" w:hAnsiTheme="minorHAnsi"/>
        </w:rPr>
        <w:t xml:space="preserve"> i morskiej energetyki wiatrowej, a także współpracy z sektorem nauki i administracją.</w:t>
      </w:r>
    </w:p>
    <w:p w14:paraId="6A2544FB" w14:textId="682CD185" w:rsidR="0050060C" w:rsidRPr="007E08F7" w:rsidRDefault="0050060C" w:rsidP="0050060C">
      <w:pPr>
        <w:spacing w:before="120" w:after="120" w:line="288" w:lineRule="auto"/>
        <w:rPr>
          <w:rFonts w:asciiTheme="minorHAnsi" w:eastAsia="Aptos" w:hAnsiTheme="minorHAnsi"/>
        </w:rPr>
      </w:pPr>
      <w:r w:rsidRPr="007E08F7">
        <w:rPr>
          <w:rFonts w:asciiTheme="minorHAnsi" w:eastAsia="Aptos" w:hAnsiTheme="minorHAnsi"/>
        </w:rPr>
        <w:t>Równie ważną kwestią jest stworzenie i realizacja wieloszczeblowej, skoordynowanej (kraj, region, aktorzy lokalni), długofalowej i konsekwentnej polityki inwestycyjnej. Polityka ta powinna polegać na pozyskiwaniu i racjonalnym lokowaniu wysokowartościowych inwestycji przemysłowych na terenach zidentyfikowanych jako optymalne pod względem dostępu do źródeł energii oraz innych kluczowych parametrów, takich jak dostęp do infrastruktury transportowej, zasobów ludzkich czy minimalizowanie konfliktów przestrzennych, w tym środowiskowych.</w:t>
      </w:r>
    </w:p>
    <w:p w14:paraId="32D45030" w14:textId="2C2667B9" w:rsidR="0050060C" w:rsidRPr="007E08F7" w:rsidRDefault="0050060C" w:rsidP="00917391">
      <w:pPr>
        <w:pStyle w:val="Nagwek4"/>
        <w:rPr>
          <w:iCs w:val="0"/>
        </w:rPr>
      </w:pPr>
      <w:r w:rsidRPr="007E08F7">
        <w:rPr>
          <w:iCs w:val="0"/>
        </w:rPr>
        <w:lastRenderedPageBreak/>
        <w:t xml:space="preserve">Ukierunkowanie tematyczne </w:t>
      </w:r>
      <w:r w:rsidR="00EF7D8D" w:rsidRPr="007E08F7">
        <w:rPr>
          <w:iCs w:val="0"/>
        </w:rPr>
        <w:t xml:space="preserve">CO 1.3 </w:t>
      </w:r>
      <w:r w:rsidR="00EF7D8D" w:rsidRPr="007E08F7">
        <w:rPr>
          <w:iCs w:val="0"/>
        </w:rPr>
        <w:br/>
        <w:t xml:space="preserve"> </w:t>
      </w:r>
      <w:r w:rsidRPr="007E08F7">
        <w:rPr>
          <w:iCs w:val="0"/>
        </w:rPr>
        <w:t>(kluczowe kierunki interwencji i działania)</w:t>
      </w:r>
    </w:p>
    <w:p w14:paraId="161516B5" w14:textId="77777777" w:rsidR="0050060C" w:rsidRPr="007E08F7" w:rsidRDefault="0050060C" w:rsidP="0050060C">
      <w:pPr>
        <w:spacing w:before="120" w:after="120" w:line="288" w:lineRule="auto"/>
        <w:rPr>
          <w:rFonts w:asciiTheme="minorHAnsi" w:hAnsiTheme="minorHAnsi"/>
        </w:rPr>
      </w:pPr>
      <w:r w:rsidRPr="007E08F7">
        <w:rPr>
          <w:rFonts w:asciiTheme="minorHAnsi" w:hAnsiTheme="minorHAnsi"/>
          <w:b/>
          <w:bCs/>
        </w:rPr>
        <w:t>1.3.1</w:t>
      </w:r>
      <w:r w:rsidRPr="007E08F7">
        <w:rPr>
          <w:rFonts w:asciiTheme="minorHAnsi" w:hAnsiTheme="minorHAnsi"/>
        </w:rPr>
        <w:t xml:space="preserve"> </w:t>
      </w:r>
      <w:r w:rsidRPr="007E08F7">
        <w:rPr>
          <w:rFonts w:asciiTheme="minorHAnsi" w:hAnsiTheme="minorHAnsi"/>
        </w:rPr>
        <w:br/>
        <w:t>Rozwój bezpiecznego, stabilnego i elastycznego systemu energetycznego wzmacniającego konkurencyjność gospodarki w oparciu o strategiczne inwestycje energetyczne.</w:t>
      </w:r>
    </w:p>
    <w:p w14:paraId="4214EC5B" w14:textId="77777777" w:rsidR="0050060C" w:rsidRPr="007E08F7" w:rsidRDefault="0050060C" w:rsidP="0050060C">
      <w:pPr>
        <w:spacing w:before="120" w:after="120" w:line="288" w:lineRule="auto"/>
        <w:rPr>
          <w:rFonts w:asciiTheme="minorHAnsi" w:hAnsiTheme="minorHAnsi" w:cstheme="minorHAnsi"/>
        </w:rPr>
      </w:pPr>
      <w:r w:rsidRPr="007E08F7">
        <w:rPr>
          <w:rFonts w:asciiTheme="minorHAnsi" w:hAnsiTheme="minorHAnsi"/>
          <w:b/>
          <w:bCs/>
        </w:rPr>
        <w:t>1.3.2</w:t>
      </w:r>
      <w:r w:rsidRPr="007E08F7">
        <w:rPr>
          <w:rFonts w:asciiTheme="minorHAnsi" w:hAnsiTheme="minorHAnsi"/>
        </w:rPr>
        <w:br/>
      </w:r>
      <w:r w:rsidRPr="007E08F7">
        <w:rPr>
          <w:rFonts w:asciiTheme="minorHAnsi" w:hAnsiTheme="minorHAnsi" w:cstheme="minorHAnsi"/>
        </w:rPr>
        <w:t>Rozwój OZE, w szczególności poprzez rozwój energetyki rozproszonej, lokalnych obszarów bilansowania i upowszechnianie nowych technologii energetycznych, w tym wodorowych oraz magazynowania energii.</w:t>
      </w:r>
    </w:p>
    <w:p w14:paraId="37BC274A" w14:textId="77777777" w:rsidR="0050060C" w:rsidRPr="007E08F7" w:rsidRDefault="0050060C" w:rsidP="0050060C">
      <w:pPr>
        <w:spacing w:before="120" w:after="120" w:line="288" w:lineRule="auto"/>
        <w:rPr>
          <w:rFonts w:asciiTheme="minorHAnsi" w:hAnsiTheme="minorHAnsi" w:cstheme="minorHAnsi"/>
        </w:rPr>
      </w:pPr>
      <w:r w:rsidRPr="007E08F7">
        <w:rPr>
          <w:rFonts w:asciiTheme="minorHAnsi" w:hAnsiTheme="minorHAnsi" w:cstheme="minorHAnsi"/>
          <w:b/>
          <w:bCs/>
        </w:rPr>
        <w:t>1.3.3</w:t>
      </w:r>
      <w:r w:rsidRPr="007E08F7">
        <w:rPr>
          <w:rFonts w:asciiTheme="minorHAnsi" w:hAnsiTheme="minorHAnsi"/>
        </w:rPr>
        <w:br/>
      </w:r>
      <w:r w:rsidRPr="007E08F7">
        <w:rPr>
          <w:rFonts w:asciiTheme="minorHAnsi" w:hAnsiTheme="minorHAnsi" w:cstheme="minorHAnsi"/>
        </w:rPr>
        <w:t>Rozwój ekosystemu współpracy wielosektorowej, wspierającej udział pomorskich przedsiębiorstw w procesie transformacji energetycznej.</w:t>
      </w:r>
    </w:p>
    <w:p w14:paraId="483C1F9E" w14:textId="77777777" w:rsidR="0050060C" w:rsidRPr="007E08F7" w:rsidRDefault="0050060C" w:rsidP="0050060C">
      <w:pPr>
        <w:spacing w:before="120" w:after="120" w:line="288" w:lineRule="auto"/>
        <w:rPr>
          <w:rFonts w:asciiTheme="minorHAnsi" w:hAnsiTheme="minorHAnsi" w:cstheme="minorHAnsi"/>
          <w:b/>
          <w:bCs/>
        </w:rPr>
      </w:pPr>
      <w:r w:rsidRPr="007E08F7">
        <w:rPr>
          <w:rFonts w:asciiTheme="minorHAnsi" w:hAnsiTheme="minorHAnsi" w:cstheme="minorHAnsi"/>
          <w:b/>
          <w:bCs/>
        </w:rPr>
        <w:t>1.3.4</w:t>
      </w:r>
      <w:r w:rsidRPr="007E08F7">
        <w:rPr>
          <w:rFonts w:asciiTheme="minorHAnsi" w:hAnsiTheme="minorHAnsi" w:cstheme="minorHAnsi"/>
          <w:b/>
          <w:bCs/>
        </w:rPr>
        <w:br/>
      </w:r>
      <w:r w:rsidRPr="007E08F7">
        <w:rPr>
          <w:rFonts w:asciiTheme="minorHAnsi" w:hAnsiTheme="minorHAnsi" w:cstheme="minorHAnsi"/>
        </w:rPr>
        <w:t>Budowa skoordynowanej i konsekwentnej polityki pozyskiwania i racjonalnego lokowania inwestycji przemysłowych w celu wykorzystania przewag konkurencyjnych wynikających z transformacji energetycznej, przy jednoczesnym zwiększaniu udziału regionalnych przedsiębiorstw w łańcuchach wartości.</w:t>
      </w:r>
    </w:p>
    <w:p w14:paraId="4595D327" w14:textId="7A7E3051" w:rsidR="0050060C" w:rsidRPr="007E08F7" w:rsidRDefault="0050060C" w:rsidP="00917391">
      <w:pPr>
        <w:pStyle w:val="Nagwek4"/>
        <w:rPr>
          <w:iCs w:val="0"/>
        </w:rPr>
      </w:pPr>
      <w:r w:rsidRPr="007E08F7">
        <w:rPr>
          <w:iCs w:val="0"/>
        </w:rPr>
        <w:t>Ukierunkowanie terytorialne</w:t>
      </w:r>
      <w:r w:rsidR="00EF7D8D" w:rsidRPr="007E08F7">
        <w:rPr>
          <w:iCs w:val="0"/>
        </w:rPr>
        <w:t xml:space="preserve"> CO 1.3</w:t>
      </w:r>
    </w:p>
    <w:p w14:paraId="1FD26872" w14:textId="77777777" w:rsidR="0050060C" w:rsidRPr="007E08F7" w:rsidRDefault="0050060C" w:rsidP="0050060C">
      <w:pPr>
        <w:spacing w:before="120" w:after="120" w:line="288" w:lineRule="auto"/>
        <w:rPr>
          <w:rFonts w:asciiTheme="minorHAnsi" w:hAnsiTheme="minorHAnsi" w:cstheme="minorHAnsi"/>
        </w:rPr>
      </w:pPr>
      <w:r w:rsidRPr="007E08F7">
        <w:rPr>
          <w:rFonts w:asciiTheme="minorHAnsi" w:hAnsiTheme="minorHAnsi" w:cstheme="minorHAnsi"/>
        </w:rPr>
        <w:t>Całe województwo, ze szczególnym uwzględnieniem lokalizacji strategicznych inwestycji energetycznych.</w:t>
      </w:r>
    </w:p>
    <w:p w14:paraId="65FD98C1" w14:textId="36A02532" w:rsidR="0050060C" w:rsidRPr="007E08F7" w:rsidRDefault="0050060C" w:rsidP="00917391">
      <w:pPr>
        <w:pStyle w:val="Nagwek4"/>
        <w:rPr>
          <w:iCs w:val="0"/>
        </w:rPr>
      </w:pPr>
      <w:r w:rsidRPr="007E08F7">
        <w:rPr>
          <w:iCs w:val="0"/>
        </w:rPr>
        <w:t>Oczekiwane rezultaty</w:t>
      </w:r>
      <w:r w:rsidR="00EF7D8D" w:rsidRPr="007E08F7">
        <w:rPr>
          <w:iCs w:val="0"/>
        </w:rPr>
        <w:t xml:space="preserve"> CO 1.3</w:t>
      </w:r>
    </w:p>
    <w:p w14:paraId="4CDA1EEC" w14:textId="77777777" w:rsidR="0050060C" w:rsidRPr="007E08F7" w:rsidRDefault="0050060C">
      <w:pPr>
        <w:numPr>
          <w:ilvl w:val="0"/>
          <w:numId w:val="26"/>
        </w:numPr>
        <w:spacing w:before="120" w:after="120" w:line="288" w:lineRule="auto"/>
        <w:rPr>
          <w:rFonts w:asciiTheme="minorHAnsi" w:hAnsiTheme="minorHAnsi" w:cstheme="minorHAnsi"/>
        </w:rPr>
      </w:pPr>
      <w:r w:rsidRPr="007E08F7">
        <w:rPr>
          <w:rFonts w:asciiTheme="minorHAnsi" w:hAnsiTheme="minorHAnsi" w:cstheme="minorHAnsi"/>
        </w:rPr>
        <w:t>Zwiększenie poziomu samowystarczalności i niezawodności energetycznej wzmacniającej bezpieczeństwo i odporność regionu.</w:t>
      </w:r>
    </w:p>
    <w:p w14:paraId="66E11268" w14:textId="77777777" w:rsidR="0050060C" w:rsidRPr="007E08F7" w:rsidRDefault="0050060C">
      <w:pPr>
        <w:numPr>
          <w:ilvl w:val="0"/>
          <w:numId w:val="26"/>
        </w:numPr>
        <w:spacing w:before="120" w:after="120" w:line="288" w:lineRule="auto"/>
        <w:rPr>
          <w:rFonts w:asciiTheme="minorHAnsi" w:hAnsiTheme="minorHAnsi" w:cstheme="minorHAnsi"/>
        </w:rPr>
      </w:pPr>
      <w:r w:rsidRPr="007E08F7">
        <w:rPr>
          <w:rFonts w:asciiTheme="minorHAnsi" w:hAnsiTheme="minorHAnsi" w:cstheme="minorHAnsi"/>
        </w:rPr>
        <w:t>Rozwój lokalnych systemów energetycznych zapewniających stabilne dostawy energii oraz zwiększających bezpieczeństwo energetyczne i konkurencyjność gospodarki regionu.</w:t>
      </w:r>
    </w:p>
    <w:p w14:paraId="638C1558" w14:textId="77777777" w:rsidR="0050060C" w:rsidRPr="007E08F7" w:rsidRDefault="0050060C">
      <w:pPr>
        <w:numPr>
          <w:ilvl w:val="0"/>
          <w:numId w:val="26"/>
        </w:numPr>
        <w:spacing w:before="120" w:after="120" w:line="288" w:lineRule="auto"/>
        <w:rPr>
          <w:rFonts w:asciiTheme="minorHAnsi" w:hAnsiTheme="minorHAnsi" w:cstheme="minorHAnsi"/>
        </w:rPr>
      </w:pPr>
      <w:r w:rsidRPr="007E08F7">
        <w:rPr>
          <w:rFonts w:asciiTheme="minorHAnsi" w:hAnsiTheme="minorHAnsi" w:cstheme="minorHAnsi"/>
        </w:rPr>
        <w:t>Wzrost atrakcyjności inwestycyjnej regionu oraz rozwój nowych specjalizacji gospodarczych związanych z transformacją energetyczną.</w:t>
      </w:r>
    </w:p>
    <w:p w14:paraId="101BAA96" w14:textId="1D1E924C" w:rsidR="0050060C" w:rsidRPr="007E08F7" w:rsidRDefault="0050060C">
      <w:pPr>
        <w:numPr>
          <w:ilvl w:val="0"/>
          <w:numId w:val="26"/>
        </w:numPr>
        <w:spacing w:before="120" w:after="120" w:line="288" w:lineRule="auto"/>
        <w:rPr>
          <w:rFonts w:asciiTheme="minorHAnsi" w:hAnsiTheme="minorHAnsi" w:cstheme="minorHAnsi"/>
        </w:rPr>
      </w:pPr>
      <w:r w:rsidRPr="007E08F7">
        <w:rPr>
          <w:rFonts w:asciiTheme="minorHAnsi" w:hAnsiTheme="minorHAnsi" w:cstheme="minorHAnsi"/>
        </w:rPr>
        <w:t>Wzrost udziału pomorskich przedsiębiorstw w łańcuchach dostaw dla sektora energetycznego, w tym energetyki jądrowej i morskiej energetyki wiatrowej.</w:t>
      </w:r>
    </w:p>
    <w:p w14:paraId="4A00D600" w14:textId="6501E3C5" w:rsidR="0050060C" w:rsidRPr="007E08F7" w:rsidRDefault="0050060C" w:rsidP="0050060C">
      <w:pPr>
        <w:rPr>
          <w:rFonts w:asciiTheme="minorHAnsi" w:hAnsiTheme="minorHAnsi" w:cstheme="minorHAnsi"/>
        </w:rPr>
      </w:pPr>
      <w:r w:rsidRPr="007E08F7">
        <w:rPr>
          <w:rFonts w:asciiTheme="minorHAnsi" w:hAnsiTheme="minorHAnsi" w:cstheme="minorHAnsi"/>
        </w:rPr>
        <w:br w:type="page"/>
      </w:r>
    </w:p>
    <w:p w14:paraId="106BF943" w14:textId="2E307853" w:rsidR="0050060C" w:rsidRPr="007E08F7" w:rsidRDefault="0050060C" w:rsidP="00917391">
      <w:pPr>
        <w:pStyle w:val="Nagwek4"/>
        <w:rPr>
          <w:b w:val="0"/>
          <w:bCs/>
          <w:iCs w:val="0"/>
        </w:rPr>
      </w:pPr>
      <w:r w:rsidRPr="007E08F7">
        <w:rPr>
          <w:iCs w:val="0"/>
        </w:rPr>
        <w:lastRenderedPageBreak/>
        <w:t>Wskaźniki</w:t>
      </w:r>
      <w:r w:rsidR="00EF7D8D" w:rsidRPr="007E08F7">
        <w:rPr>
          <w:iCs w:val="0"/>
        </w:rPr>
        <w:t xml:space="preserve"> CO 1.3</w:t>
      </w:r>
    </w:p>
    <w:tbl>
      <w:tblPr>
        <w:tblStyle w:val="Tabela-Siatka5"/>
        <w:tblW w:w="5000" w:type="pct"/>
        <w:tblLook w:val="04A0" w:firstRow="1" w:lastRow="0" w:firstColumn="1" w:lastColumn="0" w:noHBand="0" w:noVBand="1"/>
      </w:tblPr>
      <w:tblGrid>
        <w:gridCol w:w="3680"/>
        <w:gridCol w:w="1844"/>
        <w:gridCol w:w="1776"/>
        <w:gridCol w:w="1762"/>
      </w:tblGrid>
      <w:tr w:rsidR="0050060C" w:rsidRPr="007E08F7" w14:paraId="799BA612" w14:textId="77777777" w:rsidTr="006059BE">
        <w:trPr>
          <w:cantSplit/>
          <w:tblHeader/>
        </w:trPr>
        <w:tc>
          <w:tcPr>
            <w:tcW w:w="2030" w:type="pct"/>
            <w:tcBorders>
              <w:right w:val="single" w:sz="4" w:space="0" w:color="FFFFFF" w:themeColor="background1"/>
            </w:tcBorders>
            <w:shd w:val="clear" w:color="auto" w:fill="153D63" w:themeFill="text2" w:themeFillTint="E6"/>
            <w:vAlign w:val="center"/>
          </w:tcPr>
          <w:p w14:paraId="19463EBB" w14:textId="77777777" w:rsidR="0050060C" w:rsidRPr="007E08F7" w:rsidRDefault="0050060C" w:rsidP="001B25BA">
            <w:pPr>
              <w:rPr>
                <w:rFonts w:eastAsia="Aptos"/>
                <w:b/>
                <w:color w:val="FFFFFF" w:themeColor="background1"/>
              </w:rPr>
            </w:pPr>
            <w:r w:rsidRPr="007E08F7">
              <w:rPr>
                <w:rFonts w:eastAsia="Aptos"/>
                <w:b/>
                <w:color w:val="FFFFFF" w:themeColor="background1"/>
              </w:rPr>
              <w:t>Nazwa</w:t>
            </w:r>
          </w:p>
        </w:tc>
        <w:tc>
          <w:tcPr>
            <w:tcW w:w="1017" w:type="pct"/>
            <w:tcBorders>
              <w:left w:val="single" w:sz="4" w:space="0" w:color="FFFFFF" w:themeColor="background1"/>
              <w:right w:val="single" w:sz="4" w:space="0" w:color="FFFFFF" w:themeColor="background1"/>
            </w:tcBorders>
            <w:shd w:val="clear" w:color="auto" w:fill="153D63" w:themeFill="text2" w:themeFillTint="E6"/>
            <w:vAlign w:val="center"/>
          </w:tcPr>
          <w:p w14:paraId="36E15909" w14:textId="77777777" w:rsidR="0050060C" w:rsidRPr="007E08F7" w:rsidRDefault="0050060C" w:rsidP="001B25BA">
            <w:pPr>
              <w:rPr>
                <w:rFonts w:eastAsia="Aptos"/>
                <w:b/>
                <w:color w:val="FFFFFF" w:themeColor="background1"/>
              </w:rPr>
            </w:pPr>
            <w:r w:rsidRPr="007E08F7">
              <w:rPr>
                <w:rFonts w:eastAsia="Aptos"/>
                <w:b/>
                <w:color w:val="FFFFFF" w:themeColor="background1"/>
              </w:rPr>
              <w:t xml:space="preserve">Wartość </w:t>
            </w:r>
            <w:r w:rsidRPr="007E08F7">
              <w:rPr>
                <w:rFonts w:eastAsia="Aptos"/>
                <w:b/>
                <w:color w:val="FFFFFF" w:themeColor="background1"/>
              </w:rPr>
              <w:br/>
              <w:t>bazowa</w:t>
            </w:r>
          </w:p>
        </w:tc>
        <w:tc>
          <w:tcPr>
            <w:tcW w:w="980" w:type="pct"/>
            <w:tcBorders>
              <w:left w:val="single" w:sz="4" w:space="0" w:color="FFFFFF" w:themeColor="background1"/>
              <w:right w:val="single" w:sz="4" w:space="0" w:color="FFFFFF" w:themeColor="background1"/>
            </w:tcBorders>
            <w:shd w:val="clear" w:color="auto" w:fill="153D63" w:themeFill="text2" w:themeFillTint="E6"/>
            <w:vAlign w:val="center"/>
          </w:tcPr>
          <w:p w14:paraId="7E218495" w14:textId="77777777" w:rsidR="0050060C" w:rsidRPr="007E08F7" w:rsidRDefault="0050060C" w:rsidP="001B25BA">
            <w:pPr>
              <w:rPr>
                <w:rFonts w:eastAsia="Aptos"/>
                <w:b/>
                <w:color w:val="FFFFFF" w:themeColor="background1"/>
              </w:rPr>
            </w:pPr>
            <w:r w:rsidRPr="007E08F7">
              <w:rPr>
                <w:rFonts w:eastAsia="Aptos"/>
                <w:b/>
                <w:color w:val="FFFFFF" w:themeColor="background1"/>
              </w:rPr>
              <w:t>Wartość docelowa</w:t>
            </w:r>
          </w:p>
        </w:tc>
        <w:tc>
          <w:tcPr>
            <w:tcW w:w="972" w:type="pct"/>
            <w:tcBorders>
              <w:left w:val="single" w:sz="4" w:space="0" w:color="FFFFFF" w:themeColor="background1"/>
            </w:tcBorders>
            <w:shd w:val="clear" w:color="auto" w:fill="153D63" w:themeFill="text2" w:themeFillTint="E6"/>
            <w:vAlign w:val="center"/>
          </w:tcPr>
          <w:p w14:paraId="66E851EC" w14:textId="77777777" w:rsidR="0050060C" w:rsidRPr="007E08F7" w:rsidRDefault="0050060C" w:rsidP="001B25BA">
            <w:pPr>
              <w:rPr>
                <w:rFonts w:eastAsia="Aptos"/>
                <w:b/>
                <w:color w:val="FFFFFF" w:themeColor="background1"/>
              </w:rPr>
            </w:pPr>
            <w:r w:rsidRPr="007E08F7">
              <w:rPr>
                <w:rFonts w:eastAsia="Aptos"/>
                <w:b/>
                <w:color w:val="FFFFFF" w:themeColor="background1"/>
              </w:rPr>
              <w:t>Źródło danych</w:t>
            </w:r>
          </w:p>
        </w:tc>
      </w:tr>
      <w:tr w:rsidR="00DF66D3" w:rsidRPr="007E08F7" w14:paraId="1CD4DF5F" w14:textId="77777777" w:rsidTr="006059BE">
        <w:trPr>
          <w:cantSplit/>
        </w:trPr>
        <w:tc>
          <w:tcPr>
            <w:tcW w:w="2030" w:type="pct"/>
            <w:vAlign w:val="center"/>
          </w:tcPr>
          <w:p w14:paraId="633EEA7C" w14:textId="3EDBC3F4" w:rsidR="00DF66D3" w:rsidRPr="007E08F7" w:rsidRDefault="00DF66D3" w:rsidP="006059BE">
            <w:pPr>
              <w:spacing w:after="120" w:line="276" w:lineRule="auto"/>
              <w:rPr>
                <w:rFonts w:eastAsia="Aptos"/>
              </w:rPr>
            </w:pPr>
            <w:r w:rsidRPr="007E08F7">
              <w:rPr>
                <w:rFonts w:eastAsia="Aptos"/>
              </w:rPr>
              <w:t>Udział produkcji energii elektrycznej do zużycia energii elektrycznej ogółem</w:t>
            </w:r>
          </w:p>
        </w:tc>
        <w:tc>
          <w:tcPr>
            <w:tcW w:w="1017" w:type="pct"/>
            <w:vAlign w:val="center"/>
          </w:tcPr>
          <w:p w14:paraId="7FB69140" w14:textId="67B98435" w:rsidR="00DF66D3" w:rsidRPr="007E08F7" w:rsidRDefault="00DF66D3" w:rsidP="006059BE">
            <w:pPr>
              <w:spacing w:after="120" w:line="276" w:lineRule="auto"/>
              <w:rPr>
                <w:rFonts w:eastAsia="Aptos"/>
              </w:rPr>
            </w:pPr>
            <w:r w:rsidRPr="007E08F7">
              <w:rPr>
                <w:rFonts w:eastAsia="Aptos"/>
              </w:rPr>
              <w:t>80,6%</w:t>
            </w:r>
            <w:r w:rsidRPr="007E08F7">
              <w:rPr>
                <w:rFonts w:eastAsia="Aptos"/>
              </w:rPr>
              <w:br/>
              <w:t>(2024)</w:t>
            </w:r>
          </w:p>
        </w:tc>
        <w:tc>
          <w:tcPr>
            <w:tcW w:w="980" w:type="pct"/>
            <w:vAlign w:val="center"/>
          </w:tcPr>
          <w:p w14:paraId="19EF4E45" w14:textId="6EC80041" w:rsidR="00DF66D3" w:rsidRPr="007E08F7" w:rsidRDefault="00DF66D3" w:rsidP="006059BE">
            <w:pPr>
              <w:spacing w:after="120" w:line="276" w:lineRule="auto"/>
              <w:rPr>
                <w:rFonts w:eastAsia="Aptos"/>
              </w:rPr>
            </w:pPr>
            <w:r w:rsidRPr="007E08F7">
              <w:rPr>
                <w:rFonts w:eastAsia="Aptos"/>
              </w:rPr>
              <w:t>co najmniej 100%</w:t>
            </w:r>
          </w:p>
        </w:tc>
        <w:tc>
          <w:tcPr>
            <w:tcW w:w="972" w:type="pct"/>
            <w:vAlign w:val="center"/>
          </w:tcPr>
          <w:p w14:paraId="0C9A7706" w14:textId="72A20DFB" w:rsidR="00DF66D3" w:rsidRPr="007E08F7" w:rsidRDefault="00DF66D3" w:rsidP="006059BE">
            <w:pPr>
              <w:spacing w:after="120" w:line="276" w:lineRule="auto"/>
              <w:rPr>
                <w:rFonts w:eastAsia="Aptos"/>
              </w:rPr>
            </w:pPr>
            <w:r w:rsidRPr="007E08F7">
              <w:rPr>
                <w:rFonts w:eastAsia="Aptos"/>
              </w:rPr>
              <w:t>GUS</w:t>
            </w:r>
          </w:p>
        </w:tc>
      </w:tr>
      <w:tr w:rsidR="00DF66D3" w:rsidRPr="007E08F7" w14:paraId="7DDF9427" w14:textId="77777777" w:rsidTr="006059BE">
        <w:trPr>
          <w:cantSplit/>
          <w:trHeight w:val="791"/>
        </w:trPr>
        <w:tc>
          <w:tcPr>
            <w:tcW w:w="2030" w:type="pct"/>
            <w:tcBorders>
              <w:bottom w:val="single" w:sz="4" w:space="0" w:color="auto"/>
            </w:tcBorders>
          </w:tcPr>
          <w:p w14:paraId="2D8A1036" w14:textId="35E8DD2A" w:rsidR="00DF66D3" w:rsidRPr="007E08F7" w:rsidRDefault="00DF66D3" w:rsidP="006059BE">
            <w:pPr>
              <w:spacing w:after="120" w:line="276" w:lineRule="auto"/>
              <w:rPr>
                <w:rFonts w:eastAsia="Aptos"/>
              </w:rPr>
            </w:pPr>
            <w:r w:rsidRPr="007E08F7">
              <w:t>Udział produkcji energii elektrycznej z</w:t>
            </w:r>
            <w:r w:rsidR="006059BE" w:rsidRPr="007E08F7">
              <w:t> </w:t>
            </w:r>
            <w:r w:rsidRPr="007E08F7">
              <w:t>OZE w zużyciu energii elektrycznej ogółem</w:t>
            </w:r>
          </w:p>
        </w:tc>
        <w:tc>
          <w:tcPr>
            <w:tcW w:w="1017" w:type="pct"/>
            <w:tcBorders>
              <w:bottom w:val="single" w:sz="4" w:space="0" w:color="auto"/>
            </w:tcBorders>
          </w:tcPr>
          <w:p w14:paraId="468A830F" w14:textId="77777777" w:rsidR="00DF66D3" w:rsidRPr="007E08F7" w:rsidRDefault="00DF66D3" w:rsidP="006059BE">
            <w:pPr>
              <w:spacing w:after="120" w:line="276" w:lineRule="auto"/>
            </w:pPr>
            <w:r w:rsidRPr="007E08F7">
              <w:t>53,6%</w:t>
            </w:r>
          </w:p>
          <w:p w14:paraId="249CB326" w14:textId="4AD2A041" w:rsidR="00DF66D3" w:rsidRPr="007E08F7" w:rsidRDefault="00DF66D3" w:rsidP="006059BE">
            <w:pPr>
              <w:spacing w:after="120" w:line="276" w:lineRule="auto"/>
              <w:rPr>
                <w:rFonts w:eastAsia="Aptos"/>
              </w:rPr>
            </w:pPr>
            <w:r w:rsidRPr="007E08F7">
              <w:t>(2024)</w:t>
            </w:r>
          </w:p>
        </w:tc>
        <w:tc>
          <w:tcPr>
            <w:tcW w:w="980" w:type="pct"/>
            <w:tcBorders>
              <w:bottom w:val="single" w:sz="4" w:space="0" w:color="auto"/>
            </w:tcBorders>
          </w:tcPr>
          <w:p w14:paraId="2A916FE1" w14:textId="6BC1145F" w:rsidR="00DF66D3" w:rsidRPr="007E08F7" w:rsidRDefault="00DF66D3" w:rsidP="006059BE">
            <w:pPr>
              <w:spacing w:after="120" w:line="276" w:lineRule="auto"/>
              <w:rPr>
                <w:rFonts w:eastAsia="Aptos"/>
              </w:rPr>
            </w:pPr>
            <w:r w:rsidRPr="007E08F7">
              <w:rPr>
                <w:rFonts w:eastAsia="Aptos" w:cs="Calibri"/>
                <w:kern w:val="2"/>
                <w14:ligatures w14:val="standardContextual"/>
              </w:rPr>
              <w:t>do uzupełnienia</w:t>
            </w:r>
          </w:p>
        </w:tc>
        <w:tc>
          <w:tcPr>
            <w:tcW w:w="972" w:type="pct"/>
            <w:tcBorders>
              <w:bottom w:val="single" w:sz="4" w:space="0" w:color="auto"/>
            </w:tcBorders>
          </w:tcPr>
          <w:p w14:paraId="287DD19F" w14:textId="3B0D461B" w:rsidR="00DF66D3" w:rsidRPr="007E08F7" w:rsidRDefault="00DF66D3" w:rsidP="006059BE">
            <w:pPr>
              <w:spacing w:after="120" w:line="276" w:lineRule="auto"/>
              <w:rPr>
                <w:rFonts w:eastAsia="Aptos"/>
              </w:rPr>
            </w:pPr>
            <w:r w:rsidRPr="007E08F7">
              <w:rPr>
                <w:rFonts w:eastAsia="Aptos"/>
              </w:rPr>
              <w:t>Obliczenia własne na</w:t>
            </w:r>
            <w:r w:rsidR="006059BE" w:rsidRPr="007E08F7">
              <w:rPr>
                <w:rFonts w:eastAsia="Aptos"/>
              </w:rPr>
              <w:t> </w:t>
            </w:r>
            <w:r w:rsidRPr="007E08F7">
              <w:rPr>
                <w:rFonts w:eastAsia="Aptos"/>
              </w:rPr>
              <w:t>podstawie danych GUS</w:t>
            </w:r>
          </w:p>
        </w:tc>
      </w:tr>
      <w:tr w:rsidR="00DF66D3" w:rsidRPr="007E08F7" w14:paraId="554FB400" w14:textId="77777777" w:rsidTr="006059BE">
        <w:trPr>
          <w:cantSplit/>
        </w:trPr>
        <w:tc>
          <w:tcPr>
            <w:tcW w:w="2030" w:type="pct"/>
          </w:tcPr>
          <w:p w14:paraId="0543A2BE" w14:textId="31489233" w:rsidR="00DF66D3" w:rsidRPr="007E08F7" w:rsidRDefault="00DF66D3" w:rsidP="006059BE">
            <w:pPr>
              <w:spacing w:after="120" w:line="276" w:lineRule="auto"/>
              <w:rPr>
                <w:rFonts w:eastAsia="Aptos"/>
              </w:rPr>
            </w:pPr>
            <w:r w:rsidRPr="007E08F7">
              <w:rPr>
                <w:rFonts w:eastAsia="Aptos" w:cs="Calibri"/>
                <w:kern w:val="2"/>
                <w14:ligatures w14:val="standardContextual"/>
              </w:rPr>
              <w:t>Liczba zarejestrowanych spółdzielni energetycznych</w:t>
            </w:r>
          </w:p>
        </w:tc>
        <w:tc>
          <w:tcPr>
            <w:tcW w:w="1017" w:type="pct"/>
          </w:tcPr>
          <w:p w14:paraId="30A088D7" w14:textId="77777777" w:rsidR="00DF66D3" w:rsidRPr="007E08F7" w:rsidRDefault="00DF66D3" w:rsidP="006059BE">
            <w:pPr>
              <w:spacing w:after="120" w:line="276" w:lineRule="auto"/>
              <w:rPr>
                <w:rFonts w:eastAsia="Aptos" w:cs="Calibri"/>
                <w:kern w:val="2"/>
                <w14:ligatures w14:val="standardContextual"/>
              </w:rPr>
            </w:pPr>
            <w:r w:rsidRPr="007E08F7">
              <w:rPr>
                <w:rFonts w:eastAsia="Aptos" w:cs="Calibri"/>
                <w:kern w:val="2"/>
                <w14:ligatures w14:val="standardContextual"/>
              </w:rPr>
              <w:t>54</w:t>
            </w:r>
          </w:p>
          <w:p w14:paraId="059E9F2D" w14:textId="19AE5AC7" w:rsidR="00DF66D3" w:rsidRPr="007E08F7" w:rsidRDefault="00DF66D3" w:rsidP="006059BE">
            <w:pPr>
              <w:spacing w:after="120" w:line="276" w:lineRule="auto"/>
              <w:rPr>
                <w:rFonts w:eastAsia="Aptos"/>
              </w:rPr>
            </w:pPr>
            <w:r w:rsidRPr="007E08F7">
              <w:rPr>
                <w:rFonts w:eastAsia="Aptos" w:cs="Calibri"/>
                <w:kern w:val="2"/>
                <w14:ligatures w14:val="standardContextual"/>
              </w:rPr>
              <w:t>(2026)</w:t>
            </w:r>
          </w:p>
        </w:tc>
        <w:tc>
          <w:tcPr>
            <w:tcW w:w="980" w:type="pct"/>
          </w:tcPr>
          <w:p w14:paraId="314D22B1" w14:textId="52FBE35D" w:rsidR="00DF66D3" w:rsidRPr="007E08F7" w:rsidRDefault="00DF66D3" w:rsidP="006059BE">
            <w:pPr>
              <w:spacing w:after="120" w:line="276" w:lineRule="auto"/>
              <w:rPr>
                <w:rFonts w:eastAsia="Aptos"/>
              </w:rPr>
            </w:pPr>
            <w:r w:rsidRPr="007E08F7">
              <w:rPr>
                <w:rFonts w:eastAsia="Aptos" w:cs="Calibri"/>
                <w:kern w:val="2"/>
                <w14:ligatures w14:val="standardContextual"/>
              </w:rPr>
              <w:t>do uzupełnienia</w:t>
            </w:r>
          </w:p>
        </w:tc>
        <w:tc>
          <w:tcPr>
            <w:tcW w:w="972" w:type="pct"/>
          </w:tcPr>
          <w:p w14:paraId="7738B39E" w14:textId="6CB841C3" w:rsidR="00DF66D3" w:rsidRPr="007E08F7" w:rsidRDefault="00DF66D3" w:rsidP="006059BE">
            <w:pPr>
              <w:spacing w:after="120" w:line="276" w:lineRule="auto"/>
              <w:rPr>
                <w:rFonts w:eastAsia="Aptos"/>
              </w:rPr>
            </w:pPr>
            <w:r w:rsidRPr="007E08F7">
              <w:rPr>
                <w:rFonts w:eastAsia="Aptos" w:cs="Calibri"/>
                <w:kern w:val="2"/>
                <w14:ligatures w14:val="standardContextual"/>
              </w:rPr>
              <w:t>KOWR</w:t>
            </w:r>
          </w:p>
        </w:tc>
      </w:tr>
      <w:tr w:rsidR="00690670" w:rsidRPr="007E08F7" w14:paraId="0EFCF1E3" w14:textId="77777777" w:rsidTr="006059BE">
        <w:trPr>
          <w:cantSplit/>
        </w:trPr>
        <w:tc>
          <w:tcPr>
            <w:tcW w:w="2030" w:type="pct"/>
            <w:tcBorders>
              <w:bottom w:val="single" w:sz="4" w:space="0" w:color="auto"/>
            </w:tcBorders>
            <w:vAlign w:val="center"/>
          </w:tcPr>
          <w:p w14:paraId="54C644AB" w14:textId="3451CC7B" w:rsidR="00690670" w:rsidRPr="007E08F7" w:rsidRDefault="00690670" w:rsidP="006059BE">
            <w:pPr>
              <w:spacing w:after="120" w:line="276" w:lineRule="auto"/>
              <w:rPr>
                <w:rFonts w:eastAsia="Aptos"/>
              </w:rPr>
            </w:pPr>
            <w:r w:rsidRPr="007E08F7">
              <w:rPr>
                <w:rFonts w:eastAsia="Aptos"/>
              </w:rPr>
              <w:t>Pojemność bateryjnych magazynów energii elektrycznej</w:t>
            </w:r>
          </w:p>
        </w:tc>
        <w:tc>
          <w:tcPr>
            <w:tcW w:w="1017" w:type="pct"/>
            <w:tcBorders>
              <w:bottom w:val="single" w:sz="4" w:space="0" w:color="auto"/>
            </w:tcBorders>
            <w:vAlign w:val="center"/>
          </w:tcPr>
          <w:p w14:paraId="411E5F21" w14:textId="77777777" w:rsidR="00690670" w:rsidRPr="007E08F7" w:rsidRDefault="00690670" w:rsidP="006059BE">
            <w:pPr>
              <w:spacing w:after="120" w:line="276" w:lineRule="auto"/>
              <w:rPr>
                <w:rFonts w:eastAsia="Aptos"/>
              </w:rPr>
            </w:pPr>
            <w:r w:rsidRPr="007E08F7">
              <w:rPr>
                <w:rFonts w:eastAsia="Aptos"/>
              </w:rPr>
              <w:t>MWh</w:t>
            </w:r>
          </w:p>
          <w:p w14:paraId="554545C9" w14:textId="453443AA" w:rsidR="00690670" w:rsidRPr="007E08F7" w:rsidRDefault="00690670" w:rsidP="006059BE">
            <w:pPr>
              <w:spacing w:after="120" w:line="276" w:lineRule="auto"/>
              <w:rPr>
                <w:rFonts w:eastAsia="Aptos"/>
              </w:rPr>
            </w:pPr>
            <w:r w:rsidRPr="007E08F7">
              <w:rPr>
                <w:rFonts w:eastAsia="Aptos"/>
              </w:rPr>
              <w:t>do uzupełnienia</w:t>
            </w:r>
          </w:p>
        </w:tc>
        <w:tc>
          <w:tcPr>
            <w:tcW w:w="980" w:type="pct"/>
            <w:tcBorders>
              <w:bottom w:val="single" w:sz="4" w:space="0" w:color="auto"/>
            </w:tcBorders>
            <w:vAlign w:val="center"/>
          </w:tcPr>
          <w:p w14:paraId="5D931EE9" w14:textId="01149FF6" w:rsidR="00690670" w:rsidRPr="007E08F7" w:rsidRDefault="00690670" w:rsidP="006059BE">
            <w:pPr>
              <w:spacing w:after="120" w:line="276" w:lineRule="auto"/>
              <w:rPr>
                <w:rFonts w:eastAsia="Aptos"/>
              </w:rPr>
            </w:pPr>
            <w:r w:rsidRPr="007E08F7">
              <w:rPr>
                <w:rFonts w:eastAsia="Aptos"/>
              </w:rPr>
              <w:t>do uzupełnienia</w:t>
            </w:r>
          </w:p>
        </w:tc>
        <w:tc>
          <w:tcPr>
            <w:tcW w:w="972" w:type="pct"/>
            <w:tcBorders>
              <w:bottom w:val="single" w:sz="4" w:space="0" w:color="auto"/>
            </w:tcBorders>
            <w:vAlign w:val="center"/>
          </w:tcPr>
          <w:p w14:paraId="7015CA40" w14:textId="5815C551" w:rsidR="00690670" w:rsidRPr="007E08F7" w:rsidRDefault="00690670" w:rsidP="006059BE">
            <w:pPr>
              <w:spacing w:after="120" w:line="276" w:lineRule="auto"/>
              <w:rPr>
                <w:rFonts w:eastAsia="Aptos"/>
              </w:rPr>
            </w:pPr>
            <w:r w:rsidRPr="007E08F7">
              <w:rPr>
                <w:rFonts w:eastAsia="Aptos"/>
              </w:rPr>
              <w:t>URE, PSE i</w:t>
            </w:r>
            <w:r w:rsidR="006059BE" w:rsidRPr="007E08F7">
              <w:rPr>
                <w:rFonts w:eastAsia="Aptos"/>
              </w:rPr>
              <w:t> </w:t>
            </w:r>
            <w:r w:rsidRPr="007E08F7">
              <w:rPr>
                <w:rFonts w:eastAsia="Aptos"/>
              </w:rPr>
              <w:t>operatorzy systemów dystrybucyjnych</w:t>
            </w:r>
          </w:p>
        </w:tc>
      </w:tr>
    </w:tbl>
    <w:p w14:paraId="6DB94AB9" w14:textId="46E1D5D6" w:rsidR="0050060C" w:rsidRPr="007E08F7" w:rsidRDefault="0050060C" w:rsidP="006059BE">
      <w:pPr>
        <w:pStyle w:val="Nagwek4"/>
        <w:spacing w:before="360"/>
        <w:rPr>
          <w:iCs w:val="0"/>
        </w:rPr>
      </w:pPr>
      <w:r w:rsidRPr="007E08F7">
        <w:rPr>
          <w:iCs w:val="0"/>
        </w:rPr>
        <w:t>Postulaty wobec władz centralnych</w:t>
      </w:r>
      <w:r w:rsidR="00EF7D8D" w:rsidRPr="007E08F7">
        <w:rPr>
          <w:iCs w:val="0"/>
        </w:rPr>
        <w:t xml:space="preserve"> CO 1.3</w:t>
      </w:r>
    </w:p>
    <w:p w14:paraId="78749C88" w14:textId="2C9BC64D" w:rsidR="0050060C" w:rsidRPr="007E08F7" w:rsidRDefault="0050060C">
      <w:pPr>
        <w:numPr>
          <w:ilvl w:val="0"/>
          <w:numId w:val="41"/>
        </w:numPr>
        <w:spacing w:before="120" w:after="120" w:line="288" w:lineRule="auto"/>
        <w:ind w:left="426" w:hanging="426"/>
        <w:rPr>
          <w:rFonts w:asciiTheme="minorHAnsi" w:hAnsiTheme="minorHAnsi"/>
        </w:rPr>
      </w:pPr>
      <w:r w:rsidRPr="007E08F7">
        <w:rPr>
          <w:rFonts w:asciiTheme="minorHAnsi" w:hAnsiTheme="minorHAnsi"/>
        </w:rPr>
        <w:t>Modernizacja i rozbudowa sieci elektroenergetycznych wszystkich napięć w celu integracji elektrowni jądrowej, OZE, magazynów energii i nowych odbiorców.</w:t>
      </w:r>
    </w:p>
    <w:p w14:paraId="2CA5FB07" w14:textId="77777777" w:rsidR="0050060C" w:rsidRPr="007E08F7" w:rsidRDefault="0050060C">
      <w:pPr>
        <w:numPr>
          <w:ilvl w:val="0"/>
          <w:numId w:val="41"/>
        </w:numPr>
        <w:spacing w:before="120" w:after="120" w:line="288" w:lineRule="auto"/>
        <w:ind w:left="426" w:hanging="426"/>
        <w:rPr>
          <w:rFonts w:asciiTheme="minorHAnsi" w:hAnsiTheme="minorHAnsi"/>
        </w:rPr>
      </w:pPr>
      <w:r w:rsidRPr="007E08F7">
        <w:rPr>
          <w:rFonts w:asciiTheme="minorHAnsi" w:hAnsiTheme="minorHAnsi"/>
        </w:rPr>
        <w:t>Stworzenie stabilnych ram prawno-regulacyjnych dla rozwoju energetyki rozproszonej i lokalnych obszarów bilansowania energii.</w:t>
      </w:r>
    </w:p>
    <w:p w14:paraId="769C0B7D" w14:textId="23D8BCFD" w:rsidR="0050060C" w:rsidRPr="007E08F7" w:rsidRDefault="0050060C">
      <w:pPr>
        <w:numPr>
          <w:ilvl w:val="0"/>
          <w:numId w:val="41"/>
        </w:numPr>
        <w:spacing w:before="120" w:after="120" w:line="288" w:lineRule="auto"/>
        <w:ind w:left="426" w:hanging="426"/>
        <w:rPr>
          <w:rFonts w:asciiTheme="minorHAnsi" w:hAnsiTheme="minorHAnsi"/>
        </w:rPr>
      </w:pPr>
      <w:r w:rsidRPr="007E08F7">
        <w:rPr>
          <w:rFonts w:asciiTheme="minorHAnsi" w:hAnsiTheme="minorHAnsi"/>
        </w:rPr>
        <w:t>Wprowadzenie zmian prawnych umożliwiając</w:t>
      </w:r>
      <w:r w:rsidR="00A56875" w:rsidRPr="007E08F7">
        <w:rPr>
          <w:rFonts w:asciiTheme="minorHAnsi" w:hAnsiTheme="minorHAnsi"/>
        </w:rPr>
        <w:t xml:space="preserve">ych </w:t>
      </w:r>
      <w:r w:rsidRPr="007E08F7">
        <w:rPr>
          <w:rFonts w:asciiTheme="minorHAnsi" w:hAnsiTheme="minorHAnsi"/>
        </w:rPr>
        <w:t>uwzględnienie kryterium lokalizacyjnego przy kształtowaniu i kalkulacji taryf w obrocie energią elektryczną.</w:t>
      </w:r>
    </w:p>
    <w:p w14:paraId="5B71B358" w14:textId="77777777" w:rsidR="0050060C" w:rsidRPr="007E08F7" w:rsidRDefault="0050060C">
      <w:pPr>
        <w:numPr>
          <w:ilvl w:val="0"/>
          <w:numId w:val="41"/>
        </w:numPr>
        <w:spacing w:before="120" w:after="120" w:line="288" w:lineRule="auto"/>
        <w:ind w:left="426" w:hanging="426"/>
        <w:rPr>
          <w:rFonts w:asciiTheme="minorHAnsi" w:hAnsiTheme="minorHAnsi"/>
        </w:rPr>
      </w:pPr>
      <w:r w:rsidRPr="007E08F7">
        <w:rPr>
          <w:rFonts w:asciiTheme="minorHAnsi" w:hAnsiTheme="minorHAnsi"/>
        </w:rPr>
        <w:t>Koordynacja polityki inwestycyjnej państwa (w tym pozyskiwania BIZ) z regionem, uwzględniającej cele transformacji energetycznej i przemysłowej północnej Polski.</w:t>
      </w:r>
    </w:p>
    <w:p w14:paraId="561368B1" w14:textId="77777777" w:rsidR="0050060C" w:rsidRPr="007E08F7" w:rsidRDefault="0050060C">
      <w:pPr>
        <w:numPr>
          <w:ilvl w:val="0"/>
          <w:numId w:val="41"/>
        </w:numPr>
        <w:spacing w:before="120" w:after="120" w:line="288" w:lineRule="auto"/>
        <w:ind w:left="426" w:hanging="426"/>
        <w:rPr>
          <w:rFonts w:asciiTheme="minorHAnsi" w:hAnsiTheme="minorHAnsi"/>
        </w:rPr>
      </w:pPr>
      <w:r w:rsidRPr="007E08F7">
        <w:rPr>
          <w:rFonts w:asciiTheme="minorHAnsi" w:hAnsiTheme="minorHAnsi"/>
        </w:rPr>
        <w:t>Stworzenie krajowych mechanizmów wspierających udział polskich i pomorskich przedsiębiorstw w łańcuchach dostaw dla energetyki jądrowej, morskiej energetyki wiatrowej oraz nowych technologii energetycznych.</w:t>
      </w:r>
    </w:p>
    <w:p w14:paraId="44403477" w14:textId="5F51B9DE" w:rsidR="003A29FC" w:rsidRPr="007E08F7" w:rsidRDefault="0050060C">
      <w:pPr>
        <w:numPr>
          <w:ilvl w:val="0"/>
          <w:numId w:val="41"/>
        </w:numPr>
        <w:spacing w:before="120" w:after="120" w:line="288" w:lineRule="auto"/>
        <w:ind w:left="426" w:hanging="426"/>
        <w:rPr>
          <w:rFonts w:asciiTheme="minorHAnsi" w:hAnsiTheme="minorHAnsi"/>
        </w:rPr>
      </w:pPr>
      <w:r w:rsidRPr="007E08F7">
        <w:rPr>
          <w:rFonts w:asciiTheme="minorHAnsi" w:hAnsiTheme="minorHAnsi"/>
        </w:rPr>
        <w:t>Integracja projektowanych korytarzy wodorowych (i infrastruktury energetycznej z</w:t>
      </w:r>
      <w:r w:rsidR="0076110A" w:rsidRPr="007E08F7">
        <w:rPr>
          <w:rFonts w:asciiTheme="minorHAnsi" w:hAnsiTheme="minorHAnsi"/>
        </w:rPr>
        <w:t> </w:t>
      </w:r>
      <w:r w:rsidRPr="007E08F7">
        <w:rPr>
          <w:rFonts w:asciiTheme="minorHAnsi" w:hAnsiTheme="minorHAnsi"/>
        </w:rPr>
        <w:t>tym powiązanej) z rozwojem regionalnej gospodarki wodnej i jej dekarbonizacji</w:t>
      </w:r>
      <w:r w:rsidR="003A29FC" w:rsidRPr="007E08F7">
        <w:rPr>
          <w:rFonts w:asciiTheme="minorHAnsi" w:hAnsiTheme="minorHAnsi"/>
        </w:rPr>
        <w:t>.</w:t>
      </w:r>
    </w:p>
    <w:p w14:paraId="6E2980B6" w14:textId="77777777" w:rsidR="003A29FC" w:rsidRPr="007E08F7" w:rsidRDefault="003A29FC" w:rsidP="003A29FC">
      <w:pPr>
        <w:rPr>
          <w:rFonts w:asciiTheme="minorHAnsi" w:hAnsiTheme="minorHAnsi"/>
        </w:rPr>
      </w:pPr>
      <w:r w:rsidRPr="007E08F7">
        <w:rPr>
          <w:rFonts w:asciiTheme="minorHAnsi" w:hAnsiTheme="minorHAnsi"/>
          <w:color w:val="EE0000"/>
        </w:rPr>
        <w:br w:type="page"/>
      </w:r>
    </w:p>
    <w:p w14:paraId="493BAAE5" w14:textId="77777777" w:rsidR="003A29FC" w:rsidRPr="007E08F7" w:rsidRDefault="003A29FC" w:rsidP="002F715A">
      <w:pPr>
        <w:pStyle w:val="Nagwek3"/>
      </w:pPr>
      <w:bookmarkStart w:id="53" w:name="_Toc239772080"/>
      <w:r w:rsidRPr="007E08F7">
        <w:lastRenderedPageBreak/>
        <w:t>Cel operacyjny 1.4. Kadry dla gospodarki</w:t>
      </w:r>
      <w:bookmarkEnd w:id="53"/>
    </w:p>
    <w:p w14:paraId="1117F8DF" w14:textId="514918C1" w:rsidR="003A29FC" w:rsidRPr="007E08F7" w:rsidRDefault="003A29FC" w:rsidP="00B32464">
      <w:pPr>
        <w:pStyle w:val="Nagwek4"/>
        <w:rPr>
          <w:iCs w:val="0"/>
        </w:rPr>
      </w:pPr>
      <w:r w:rsidRPr="007E08F7">
        <w:rPr>
          <w:iCs w:val="0"/>
        </w:rPr>
        <w:t>Przesłanki realizacji Celu operacyjnego</w:t>
      </w:r>
      <w:r w:rsidRPr="007E08F7">
        <w:rPr>
          <w:iCs w:val="0"/>
          <w:color w:val="EE0000"/>
        </w:rPr>
        <w:t xml:space="preserve"> </w:t>
      </w:r>
      <w:r w:rsidR="00EF7D8D" w:rsidRPr="007E08F7">
        <w:rPr>
          <w:iCs w:val="0"/>
          <w:color w:val="auto"/>
        </w:rPr>
        <w:t>1.4</w:t>
      </w:r>
    </w:p>
    <w:p w14:paraId="37D4B003" w14:textId="09301BC6" w:rsidR="00326F29" w:rsidRPr="007E08F7" w:rsidRDefault="00326F29" w:rsidP="00326F29">
      <w:pPr>
        <w:spacing w:before="120" w:after="120" w:line="288" w:lineRule="auto"/>
        <w:rPr>
          <w:rFonts w:eastAsia="Aptos"/>
        </w:rPr>
      </w:pPr>
      <w:r w:rsidRPr="007E08F7">
        <w:rPr>
          <w:rFonts w:eastAsia="Aptos"/>
        </w:rPr>
        <w:t xml:space="preserve">Kluczową rolę w procesie zapewniania kompetencji dla transformacji województwa odgrywają szkoły zawodowe (branżowe I </w:t>
      </w:r>
      <w:proofErr w:type="spellStart"/>
      <w:r w:rsidRPr="007E08F7">
        <w:rPr>
          <w:rFonts w:eastAsia="Aptos"/>
        </w:rPr>
        <w:t>i</w:t>
      </w:r>
      <w:proofErr w:type="spellEnd"/>
      <w:r w:rsidRPr="007E08F7">
        <w:rPr>
          <w:rFonts w:eastAsia="Aptos"/>
        </w:rPr>
        <w:t xml:space="preserve"> II stopnia oraz technika), uczelnie oraz podmioty realizujące kształcenie ustawiczne. Konieczny jest rozwój praktycznej i</w:t>
      </w:r>
      <w:r w:rsidR="0076110A" w:rsidRPr="007E08F7">
        <w:rPr>
          <w:rFonts w:eastAsia="Aptos"/>
        </w:rPr>
        <w:t> </w:t>
      </w:r>
      <w:r w:rsidRPr="007E08F7">
        <w:rPr>
          <w:rFonts w:eastAsia="Aptos"/>
        </w:rPr>
        <w:t>elastycznej oferty edukacyjnej na wszystkich poziomach, w szczególności na potrzeby strategicznych sektorów i technologii, z wykorzystaniem całożyciowego poradnictwa zawodowego (kariery).</w:t>
      </w:r>
    </w:p>
    <w:p w14:paraId="75713D00" w14:textId="77777777" w:rsidR="00326F29" w:rsidRPr="007E08F7" w:rsidRDefault="00326F29" w:rsidP="00326F29">
      <w:pPr>
        <w:spacing w:before="120" w:after="120" w:line="288" w:lineRule="auto"/>
        <w:rPr>
          <w:rFonts w:asciiTheme="minorHAnsi" w:eastAsia="Aptos" w:hAnsiTheme="minorHAnsi"/>
        </w:rPr>
      </w:pPr>
      <w:r w:rsidRPr="007E08F7">
        <w:rPr>
          <w:rFonts w:eastAsia="Aptos"/>
        </w:rPr>
        <w:t xml:space="preserve">W tym kontekście </w:t>
      </w:r>
      <w:r w:rsidRPr="007E08F7">
        <w:rPr>
          <w:rFonts w:asciiTheme="minorHAnsi" w:eastAsia="Aptos" w:hAnsiTheme="minorHAnsi"/>
        </w:rPr>
        <w:t>istotne jest dalsze wzmacnianie marki pomorskich uczelni i rozwój ich oferty edukacyjnej (w tym w obszarze kształcenia ustawicznego). Wspólna promocja osiągnięć pozwoli wzmocnić rozpoznawalność regionu jako nowoczesnego centrum koncentracji wiedzy.</w:t>
      </w:r>
    </w:p>
    <w:p w14:paraId="143E2802" w14:textId="77777777" w:rsidR="00326F29" w:rsidRPr="007E08F7" w:rsidRDefault="00326F29" w:rsidP="00326F29">
      <w:pPr>
        <w:spacing w:before="120" w:after="120" w:line="288" w:lineRule="auto"/>
        <w:rPr>
          <w:rFonts w:asciiTheme="minorHAnsi" w:eastAsia="Aptos" w:hAnsiTheme="minorHAnsi"/>
        </w:rPr>
      </w:pPr>
      <w:r w:rsidRPr="007E08F7">
        <w:rPr>
          <w:rFonts w:asciiTheme="minorHAnsi" w:eastAsia="Aptos" w:hAnsiTheme="minorHAnsi"/>
        </w:rPr>
        <w:t>Nadal widoczny jest brak trwałych rozwiązań w obszarze doradztwa zawodowego oraz diagnozowania predyspozycji uczniów na każdym etapie nauki. Niezbędne jest zapewnienie systemowych rozwiązań służących świadomemu planowaniu kariery zawodowej, zarówno przez uczniów, jak i osoby dorosłe, jak również promocja uczenia się przez całe życie.</w:t>
      </w:r>
    </w:p>
    <w:p w14:paraId="2F9183B5" w14:textId="77777777" w:rsidR="00326F29" w:rsidRPr="007E08F7" w:rsidRDefault="00326F29" w:rsidP="00326F29">
      <w:pPr>
        <w:spacing w:before="120" w:after="120" w:line="288" w:lineRule="auto"/>
        <w:rPr>
          <w:rFonts w:asciiTheme="minorHAnsi" w:eastAsia="Aptos" w:hAnsiTheme="minorHAnsi"/>
        </w:rPr>
      </w:pPr>
      <w:r w:rsidRPr="007E08F7">
        <w:rPr>
          <w:rFonts w:asciiTheme="minorHAnsi" w:eastAsia="Aptos" w:hAnsiTheme="minorHAnsi"/>
        </w:rPr>
        <w:t>Istotnym elementem wzmacniania bazy gospodarczej i konkurencyjności województwa będą także systemowe rozwiązania służące przyciąganiu talentów do regionu (pracowników, studentów, naukowców), jak również tworzenie warunków do rozwoju dla szczególnie uzdolnionych uczniów.</w:t>
      </w:r>
    </w:p>
    <w:p w14:paraId="7C768C52" w14:textId="63C6D82F" w:rsidR="00326F29" w:rsidRPr="007E08F7" w:rsidRDefault="00326F29" w:rsidP="00326F29">
      <w:pPr>
        <w:spacing w:before="120" w:after="120" w:line="288" w:lineRule="auto"/>
        <w:rPr>
          <w:rFonts w:asciiTheme="minorHAnsi" w:eastAsia="Aptos" w:hAnsiTheme="minorHAnsi"/>
        </w:rPr>
      </w:pPr>
      <w:r w:rsidRPr="007E08F7">
        <w:rPr>
          <w:rFonts w:asciiTheme="minorHAnsi" w:eastAsia="Aptos" w:hAnsiTheme="minorHAnsi"/>
        </w:rPr>
        <w:t>W obliczu niedoborów kadrowych i dynamicznie zmieniających się potrzeb rynku pracy, coraz większego znaczenia nabiera niewykorzystany potencjał zawodowy mieszkańców. Wielu Pomorzan pozostaje nieaktywnych zawodowo</w:t>
      </w:r>
      <w:r w:rsidR="00A56875" w:rsidRPr="007E08F7">
        <w:rPr>
          <w:rFonts w:asciiTheme="minorHAnsi" w:eastAsia="Aptos" w:hAnsiTheme="minorHAnsi"/>
        </w:rPr>
        <w:t xml:space="preserve">, </w:t>
      </w:r>
      <w:r w:rsidRPr="007E08F7">
        <w:rPr>
          <w:rFonts w:asciiTheme="minorHAnsi" w:eastAsia="Aptos" w:hAnsiTheme="minorHAnsi"/>
        </w:rPr>
        <w:t>przede wszystkim z powodu opieki nad osobami zależnymi, wieku, niepełnosprawności czy sytuacji zdrowotnej. Aktywizacja tych grup wymaga tworzenia bardziej elastycznych i dostępnych ścieżek zatrudnienia, w tym w ramach ekonomii społecznej, rozwijania kompetencji raz dostosowania miejsc pracy.</w:t>
      </w:r>
    </w:p>
    <w:p w14:paraId="6AF21043" w14:textId="4A60F8F1" w:rsidR="00326F29" w:rsidRPr="007E08F7" w:rsidRDefault="00326F29" w:rsidP="00917391">
      <w:pPr>
        <w:pStyle w:val="Nagwek4"/>
        <w:rPr>
          <w:iCs w:val="0"/>
        </w:rPr>
      </w:pPr>
      <w:r w:rsidRPr="007E08F7">
        <w:rPr>
          <w:iCs w:val="0"/>
        </w:rPr>
        <w:t xml:space="preserve">Ukierunkowanie tematyczne </w:t>
      </w:r>
      <w:r w:rsidR="00EF7D8D" w:rsidRPr="007E08F7">
        <w:rPr>
          <w:iCs w:val="0"/>
        </w:rPr>
        <w:t xml:space="preserve">CO 1.4 </w:t>
      </w:r>
      <w:r w:rsidR="00EF7D8D" w:rsidRPr="007E08F7">
        <w:rPr>
          <w:iCs w:val="0"/>
        </w:rPr>
        <w:br/>
      </w:r>
      <w:r w:rsidRPr="007E08F7">
        <w:rPr>
          <w:iCs w:val="0"/>
        </w:rPr>
        <w:t>(kluczowe kierunki interwencji i działania)</w:t>
      </w:r>
    </w:p>
    <w:p w14:paraId="6366B886" w14:textId="221E6B2A" w:rsidR="00326F29" w:rsidRPr="007E08F7" w:rsidRDefault="00326F29" w:rsidP="00326F29">
      <w:pPr>
        <w:spacing w:before="120" w:after="120" w:line="288" w:lineRule="auto"/>
        <w:rPr>
          <w:rFonts w:asciiTheme="minorHAnsi" w:hAnsiTheme="minorHAnsi"/>
        </w:rPr>
      </w:pPr>
      <w:r w:rsidRPr="007E08F7">
        <w:rPr>
          <w:rFonts w:asciiTheme="minorHAnsi" w:hAnsiTheme="minorHAnsi"/>
          <w:b/>
          <w:bCs/>
        </w:rPr>
        <w:t>1.4.1</w:t>
      </w:r>
      <w:r w:rsidRPr="007E08F7">
        <w:rPr>
          <w:rFonts w:asciiTheme="minorHAnsi" w:hAnsiTheme="minorHAnsi"/>
        </w:rPr>
        <w:t xml:space="preserve"> </w:t>
      </w:r>
      <w:r w:rsidRPr="007E08F7">
        <w:rPr>
          <w:rFonts w:asciiTheme="minorHAnsi" w:hAnsiTheme="minorHAnsi"/>
        </w:rPr>
        <w:br/>
        <w:t>Selektywne wsparcie kształcenia zawodowego na potrzeby strategicznych sektorów i</w:t>
      </w:r>
      <w:r w:rsidR="0076110A" w:rsidRPr="007E08F7">
        <w:rPr>
          <w:rFonts w:asciiTheme="minorHAnsi" w:hAnsiTheme="minorHAnsi"/>
        </w:rPr>
        <w:t> </w:t>
      </w:r>
      <w:r w:rsidRPr="007E08F7">
        <w:rPr>
          <w:rFonts w:asciiTheme="minorHAnsi" w:hAnsiTheme="minorHAnsi"/>
        </w:rPr>
        <w:t>technologii.</w:t>
      </w:r>
    </w:p>
    <w:p w14:paraId="76C1D2F4" w14:textId="77777777" w:rsidR="00326F29" w:rsidRPr="007E08F7" w:rsidRDefault="00326F29" w:rsidP="00326F29">
      <w:pPr>
        <w:spacing w:before="120" w:after="120" w:line="288" w:lineRule="auto"/>
        <w:rPr>
          <w:rFonts w:asciiTheme="minorHAnsi" w:hAnsiTheme="minorHAnsi" w:cstheme="minorHAnsi"/>
        </w:rPr>
      </w:pPr>
      <w:r w:rsidRPr="007E08F7">
        <w:rPr>
          <w:rFonts w:asciiTheme="minorHAnsi" w:hAnsiTheme="minorHAnsi"/>
          <w:b/>
          <w:bCs/>
        </w:rPr>
        <w:t>1.4.2</w:t>
      </w:r>
      <w:r w:rsidRPr="007E08F7">
        <w:rPr>
          <w:rFonts w:asciiTheme="minorHAnsi" w:hAnsiTheme="minorHAnsi"/>
        </w:rPr>
        <w:br/>
      </w:r>
      <w:r w:rsidRPr="007E08F7">
        <w:rPr>
          <w:rFonts w:asciiTheme="minorHAnsi" w:hAnsiTheme="minorHAnsi" w:cstheme="minorHAnsi"/>
        </w:rPr>
        <w:t xml:space="preserve">Rozwój oferty elastycznych form kształcenia ustawicznego i edukacji na poziomie </w:t>
      </w:r>
      <w:r w:rsidRPr="007E08F7">
        <w:rPr>
          <w:rFonts w:asciiTheme="minorHAnsi" w:hAnsiTheme="minorHAnsi" w:cstheme="minorHAnsi"/>
        </w:rPr>
        <w:lastRenderedPageBreak/>
        <w:t>wyższym odpowiadających na potrzeby strategicznych sektorów i technologii oraz promocja kształcenia ustawicznego.</w:t>
      </w:r>
    </w:p>
    <w:p w14:paraId="04C6D886" w14:textId="77777777" w:rsidR="00326F29" w:rsidRPr="007E08F7" w:rsidRDefault="00326F29" w:rsidP="00326F29">
      <w:pPr>
        <w:spacing w:before="120" w:after="120" w:line="288" w:lineRule="auto"/>
        <w:rPr>
          <w:rFonts w:asciiTheme="minorHAnsi" w:hAnsiTheme="minorHAnsi" w:cstheme="minorHAnsi"/>
        </w:rPr>
      </w:pPr>
      <w:r w:rsidRPr="007E08F7">
        <w:rPr>
          <w:rFonts w:asciiTheme="minorHAnsi" w:hAnsiTheme="minorHAnsi" w:cstheme="minorHAnsi"/>
          <w:b/>
          <w:bCs/>
        </w:rPr>
        <w:t>1.4.3</w:t>
      </w:r>
      <w:r w:rsidRPr="007E08F7">
        <w:rPr>
          <w:rFonts w:asciiTheme="minorHAnsi" w:hAnsiTheme="minorHAnsi"/>
        </w:rPr>
        <w:br/>
        <w:t>Rozwój systemu poradnictwa kariery bazującego na ścisłej współpracy kluczowych interesariuszy i analizie dynamiki rynku pracy.</w:t>
      </w:r>
    </w:p>
    <w:p w14:paraId="5B6D4626" w14:textId="77777777" w:rsidR="00326F29" w:rsidRPr="007E08F7" w:rsidRDefault="00326F29" w:rsidP="00326F29">
      <w:pPr>
        <w:spacing w:before="120" w:after="120" w:line="288" w:lineRule="auto"/>
        <w:rPr>
          <w:rFonts w:asciiTheme="minorHAnsi" w:eastAsia="Aptos" w:hAnsiTheme="minorHAnsi"/>
        </w:rPr>
      </w:pPr>
      <w:r w:rsidRPr="007E08F7">
        <w:rPr>
          <w:rFonts w:asciiTheme="minorHAnsi" w:hAnsiTheme="minorHAnsi" w:cstheme="minorHAnsi"/>
          <w:b/>
          <w:bCs/>
        </w:rPr>
        <w:t>1.4.4</w:t>
      </w:r>
      <w:r w:rsidRPr="007E08F7">
        <w:rPr>
          <w:rFonts w:asciiTheme="minorHAnsi" w:hAnsiTheme="minorHAnsi" w:cstheme="minorHAnsi"/>
          <w:b/>
          <w:bCs/>
        </w:rPr>
        <w:br/>
      </w:r>
      <w:r w:rsidRPr="007E08F7">
        <w:rPr>
          <w:rFonts w:asciiTheme="minorHAnsi" w:eastAsia="Aptos" w:hAnsiTheme="minorHAnsi"/>
        </w:rPr>
        <w:t>Wspieranie szczególnie uzdolnionych pomorskich uczniów oraz studentów pomorskich uczelni oraz przyciąganie do regionu</w:t>
      </w:r>
      <w:r w:rsidRPr="007E08F7">
        <w:rPr>
          <w:rFonts w:asciiTheme="minorHAnsi" w:hAnsiTheme="minorHAnsi" w:cstheme="minorHAnsi"/>
        </w:rPr>
        <w:t xml:space="preserve"> talentów (w tym uczniów, studentów, naukowców, pracowników)</w:t>
      </w:r>
      <w:r w:rsidRPr="007E08F7">
        <w:rPr>
          <w:rFonts w:asciiTheme="minorHAnsi" w:eastAsia="Aptos" w:hAnsiTheme="minorHAnsi"/>
        </w:rPr>
        <w:t>.</w:t>
      </w:r>
    </w:p>
    <w:p w14:paraId="0A2905DC" w14:textId="77777777" w:rsidR="00326F29" w:rsidRPr="007E08F7" w:rsidRDefault="00326F29" w:rsidP="00326F29">
      <w:pPr>
        <w:spacing w:before="120" w:after="120" w:line="288" w:lineRule="auto"/>
        <w:rPr>
          <w:rFonts w:eastAsia="Aptos"/>
          <w:kern w:val="0"/>
          <w14:ligatures w14:val="none"/>
        </w:rPr>
      </w:pPr>
      <w:r w:rsidRPr="007E08F7">
        <w:rPr>
          <w:rFonts w:asciiTheme="minorHAnsi" w:hAnsiTheme="minorHAnsi" w:cstheme="minorHAnsi"/>
          <w:b/>
          <w:bCs/>
        </w:rPr>
        <w:t>1.4.5</w:t>
      </w:r>
      <w:r w:rsidRPr="007E08F7">
        <w:rPr>
          <w:rFonts w:asciiTheme="minorHAnsi" w:hAnsiTheme="minorHAnsi" w:cstheme="minorHAnsi"/>
          <w:b/>
          <w:bCs/>
        </w:rPr>
        <w:br/>
      </w:r>
      <w:r w:rsidRPr="007E08F7">
        <w:rPr>
          <w:rFonts w:eastAsia="Aptos"/>
          <w:kern w:val="0"/>
          <w14:ligatures w14:val="none"/>
        </w:rPr>
        <w:t>Aktywizacja społeczna i zawodowa niewykorzystanych zasobów na rynku pracy.</w:t>
      </w:r>
    </w:p>
    <w:p w14:paraId="62D28B88" w14:textId="53A899D0" w:rsidR="00326F29" w:rsidRPr="007E08F7" w:rsidRDefault="00326F29" w:rsidP="00917391">
      <w:pPr>
        <w:pStyle w:val="Nagwek4"/>
        <w:rPr>
          <w:iCs w:val="0"/>
        </w:rPr>
      </w:pPr>
      <w:r w:rsidRPr="007E08F7">
        <w:rPr>
          <w:iCs w:val="0"/>
        </w:rPr>
        <w:t>Ukierunkowanie terytorialne</w:t>
      </w:r>
      <w:r w:rsidR="00EF7D8D" w:rsidRPr="007E08F7">
        <w:rPr>
          <w:iCs w:val="0"/>
        </w:rPr>
        <w:t xml:space="preserve"> CO 1.4</w:t>
      </w:r>
    </w:p>
    <w:p w14:paraId="423FCC9A" w14:textId="77777777" w:rsidR="00326F29" w:rsidRPr="007E08F7" w:rsidRDefault="00326F29" w:rsidP="00326F29">
      <w:pPr>
        <w:spacing w:before="120" w:after="120" w:line="288" w:lineRule="auto"/>
        <w:rPr>
          <w:rFonts w:asciiTheme="minorHAnsi" w:hAnsiTheme="minorHAnsi" w:cstheme="minorHAnsi"/>
        </w:rPr>
      </w:pPr>
      <w:r w:rsidRPr="007E08F7">
        <w:rPr>
          <w:rFonts w:asciiTheme="minorHAnsi" w:hAnsiTheme="minorHAnsi" w:cstheme="minorHAnsi"/>
        </w:rPr>
        <w:t>Całe województwo, w tym obszary krajowych inwestycji strategicznych.</w:t>
      </w:r>
    </w:p>
    <w:p w14:paraId="249914E0" w14:textId="538BE350" w:rsidR="00326F29" w:rsidRPr="007E08F7" w:rsidRDefault="00326F29" w:rsidP="00917391">
      <w:pPr>
        <w:pStyle w:val="Nagwek4"/>
        <w:rPr>
          <w:iCs w:val="0"/>
        </w:rPr>
      </w:pPr>
      <w:r w:rsidRPr="007E08F7">
        <w:rPr>
          <w:iCs w:val="0"/>
        </w:rPr>
        <w:t>Oczekiwane rezultaty</w:t>
      </w:r>
      <w:r w:rsidR="00EF7D8D" w:rsidRPr="007E08F7">
        <w:rPr>
          <w:iCs w:val="0"/>
        </w:rPr>
        <w:t xml:space="preserve"> CO 1.4</w:t>
      </w:r>
    </w:p>
    <w:p w14:paraId="1FC2A28E" w14:textId="58CC2E23" w:rsidR="00326F29" w:rsidRPr="007E08F7" w:rsidRDefault="00326F29">
      <w:pPr>
        <w:numPr>
          <w:ilvl w:val="0"/>
          <w:numId w:val="21"/>
        </w:numPr>
        <w:spacing w:before="120" w:after="120" w:line="288" w:lineRule="auto"/>
        <w:rPr>
          <w:rFonts w:asciiTheme="minorHAnsi" w:hAnsiTheme="minorHAnsi" w:cstheme="minorHAnsi"/>
        </w:rPr>
      </w:pPr>
      <w:r w:rsidRPr="007E08F7">
        <w:rPr>
          <w:rFonts w:asciiTheme="minorHAnsi" w:hAnsiTheme="minorHAnsi" w:cstheme="minorHAnsi"/>
        </w:rPr>
        <w:t>Wzrost liczby osób posiadających kompetencje zgodne z potrzebami rynku pracy, w</w:t>
      </w:r>
      <w:r w:rsidR="0076110A" w:rsidRPr="007E08F7">
        <w:rPr>
          <w:rFonts w:asciiTheme="minorHAnsi" w:hAnsiTheme="minorHAnsi" w:cstheme="minorHAnsi"/>
        </w:rPr>
        <w:t> </w:t>
      </w:r>
      <w:r w:rsidRPr="007E08F7">
        <w:rPr>
          <w:rFonts w:asciiTheme="minorHAnsi" w:hAnsiTheme="minorHAnsi" w:cstheme="minorHAnsi"/>
        </w:rPr>
        <w:t xml:space="preserve">szczególności w obszarze </w:t>
      </w:r>
      <w:r w:rsidRPr="007E08F7">
        <w:rPr>
          <w:rFonts w:asciiTheme="minorHAnsi" w:eastAsia="Aptos" w:hAnsiTheme="minorHAnsi"/>
        </w:rPr>
        <w:t>strategicznych sektorów i technologii</w:t>
      </w:r>
      <w:r w:rsidRPr="007E08F7">
        <w:rPr>
          <w:rFonts w:asciiTheme="minorHAnsi" w:hAnsiTheme="minorHAnsi" w:cstheme="minorHAnsi"/>
        </w:rPr>
        <w:t>.</w:t>
      </w:r>
    </w:p>
    <w:p w14:paraId="08E2D883" w14:textId="77777777" w:rsidR="00326F29" w:rsidRPr="007E08F7" w:rsidRDefault="00326F29">
      <w:pPr>
        <w:numPr>
          <w:ilvl w:val="0"/>
          <w:numId w:val="21"/>
        </w:numPr>
        <w:spacing w:before="120" w:after="120" w:line="288" w:lineRule="auto"/>
        <w:rPr>
          <w:rFonts w:asciiTheme="minorHAnsi" w:hAnsiTheme="minorHAnsi" w:cstheme="minorHAnsi"/>
        </w:rPr>
      </w:pPr>
      <w:r w:rsidRPr="007E08F7">
        <w:rPr>
          <w:rFonts w:asciiTheme="minorHAnsi" w:hAnsiTheme="minorHAnsi" w:cstheme="minorHAnsi"/>
        </w:rPr>
        <w:t>Zapewnienie mieszkańcom wsparcia w dokonywaniu optymalnych wyborów edukacyjnych i zawodowych.</w:t>
      </w:r>
    </w:p>
    <w:p w14:paraId="0198D28A" w14:textId="77777777" w:rsidR="00326F29" w:rsidRPr="007E08F7" w:rsidRDefault="00326F29">
      <w:pPr>
        <w:numPr>
          <w:ilvl w:val="0"/>
          <w:numId w:val="21"/>
        </w:numPr>
        <w:spacing w:before="120" w:after="120" w:line="288" w:lineRule="auto"/>
        <w:rPr>
          <w:rFonts w:asciiTheme="minorHAnsi" w:hAnsiTheme="minorHAnsi" w:cstheme="minorHAnsi"/>
        </w:rPr>
      </w:pPr>
      <w:r w:rsidRPr="007E08F7">
        <w:rPr>
          <w:rFonts w:asciiTheme="minorHAnsi" w:hAnsiTheme="minorHAnsi" w:cstheme="minorHAnsi"/>
        </w:rPr>
        <w:t>Wzmocnienie marki Pomorza jako regionu zapewniającego nowoczesną ofertę edukacyjną i przyjaznego osobom szczególnie uzdolnionym.</w:t>
      </w:r>
    </w:p>
    <w:p w14:paraId="5ED1AD68" w14:textId="3D0FBB78" w:rsidR="00C911DD" w:rsidRPr="007E08F7" w:rsidRDefault="00326F29">
      <w:pPr>
        <w:pStyle w:val="Akapitzlist"/>
        <w:numPr>
          <w:ilvl w:val="0"/>
          <w:numId w:val="21"/>
        </w:numPr>
        <w:rPr>
          <w:rFonts w:asciiTheme="minorHAnsi" w:hAnsiTheme="minorHAnsi" w:cstheme="minorHAnsi"/>
        </w:rPr>
      </w:pPr>
      <w:r w:rsidRPr="007E08F7">
        <w:rPr>
          <w:rFonts w:asciiTheme="minorHAnsi" w:hAnsiTheme="minorHAnsi" w:cstheme="minorHAnsi"/>
        </w:rPr>
        <w:t>Zwiększenie poziomu aktywności zawodowej i lepsze wykorzystanie zasobów pracy.</w:t>
      </w:r>
    </w:p>
    <w:p w14:paraId="2CF64E3E" w14:textId="5EB8F059" w:rsidR="00326F29" w:rsidRPr="007E08F7" w:rsidRDefault="00326F29" w:rsidP="00917391">
      <w:pPr>
        <w:pStyle w:val="Nagwek4"/>
        <w:rPr>
          <w:iCs w:val="0"/>
        </w:rPr>
      </w:pPr>
      <w:r w:rsidRPr="007E08F7">
        <w:rPr>
          <w:iCs w:val="0"/>
        </w:rPr>
        <w:t>Wskaźniki</w:t>
      </w:r>
      <w:r w:rsidR="00EF7D8D" w:rsidRPr="007E08F7">
        <w:rPr>
          <w:iCs w:val="0"/>
        </w:rPr>
        <w:t xml:space="preserve"> CO 1.4</w:t>
      </w:r>
    </w:p>
    <w:tbl>
      <w:tblPr>
        <w:tblStyle w:val="Tabela-Siatka4"/>
        <w:tblW w:w="5000" w:type="pct"/>
        <w:tblLayout w:type="fixed"/>
        <w:tblLook w:val="01E0" w:firstRow="1" w:lastRow="1" w:firstColumn="1" w:lastColumn="1" w:noHBand="0" w:noVBand="0"/>
      </w:tblPr>
      <w:tblGrid>
        <w:gridCol w:w="4816"/>
        <w:gridCol w:w="1278"/>
        <w:gridCol w:w="1841"/>
        <w:gridCol w:w="1127"/>
      </w:tblGrid>
      <w:tr w:rsidR="00690670" w:rsidRPr="007E08F7" w14:paraId="712B0059" w14:textId="77777777" w:rsidTr="009F21B4">
        <w:trPr>
          <w:tblHeader/>
        </w:trPr>
        <w:tc>
          <w:tcPr>
            <w:tcW w:w="2657" w:type="pct"/>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153D63" w:themeFill="text2" w:themeFillTint="E6"/>
            <w:vAlign w:val="center"/>
          </w:tcPr>
          <w:p w14:paraId="5A858F46" w14:textId="77777777" w:rsidR="00690670" w:rsidRPr="007E08F7" w:rsidRDefault="00690670" w:rsidP="003D2CB6">
            <w:pPr>
              <w:spacing w:line="259" w:lineRule="auto"/>
              <w:rPr>
                <w:rFonts w:eastAsia="Aptos"/>
                <w:b/>
                <w:color w:val="FFFFFF" w:themeColor="background1"/>
              </w:rPr>
            </w:pPr>
            <w:r w:rsidRPr="007E08F7">
              <w:rPr>
                <w:rFonts w:eastAsia="Aptos"/>
                <w:b/>
                <w:color w:val="FFFFFF" w:themeColor="background1"/>
              </w:rPr>
              <w:t>Nazwa</w:t>
            </w:r>
          </w:p>
        </w:tc>
        <w:tc>
          <w:tcPr>
            <w:tcW w:w="705" w:type="pct"/>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53D63" w:themeFill="text2" w:themeFillTint="E6"/>
            <w:vAlign w:val="center"/>
          </w:tcPr>
          <w:p w14:paraId="50D66564" w14:textId="77777777" w:rsidR="00690670" w:rsidRPr="007E08F7" w:rsidRDefault="00690670" w:rsidP="003D2CB6">
            <w:pPr>
              <w:spacing w:line="259" w:lineRule="auto"/>
              <w:rPr>
                <w:rFonts w:eastAsia="Aptos"/>
                <w:b/>
                <w:color w:val="FFFFFF" w:themeColor="background1"/>
              </w:rPr>
            </w:pPr>
            <w:r w:rsidRPr="007E08F7">
              <w:rPr>
                <w:rFonts w:eastAsia="Aptos"/>
                <w:b/>
                <w:color w:val="FFFFFF" w:themeColor="background1"/>
              </w:rPr>
              <w:t xml:space="preserve">Wartość </w:t>
            </w:r>
            <w:r w:rsidRPr="007E08F7">
              <w:rPr>
                <w:rFonts w:eastAsia="Aptos"/>
                <w:b/>
                <w:color w:val="FFFFFF" w:themeColor="background1"/>
              </w:rPr>
              <w:br/>
              <w:t>bazowa</w:t>
            </w:r>
          </w:p>
        </w:tc>
        <w:tc>
          <w:tcPr>
            <w:tcW w:w="1016" w:type="pct"/>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153D63" w:themeFill="text2" w:themeFillTint="E6"/>
            <w:vAlign w:val="center"/>
          </w:tcPr>
          <w:p w14:paraId="4BFC9BEC" w14:textId="77777777" w:rsidR="00690670" w:rsidRPr="007E08F7" w:rsidRDefault="00690670" w:rsidP="003D2CB6">
            <w:pPr>
              <w:spacing w:line="259" w:lineRule="auto"/>
              <w:rPr>
                <w:rFonts w:eastAsia="Aptos"/>
                <w:b/>
                <w:color w:val="FFFFFF" w:themeColor="background1"/>
              </w:rPr>
            </w:pPr>
            <w:r w:rsidRPr="007E08F7">
              <w:rPr>
                <w:rFonts w:eastAsia="Aptos"/>
                <w:b/>
                <w:color w:val="FFFFFF" w:themeColor="background1"/>
              </w:rPr>
              <w:t>Wartość docelowa</w:t>
            </w:r>
          </w:p>
        </w:tc>
        <w:tc>
          <w:tcPr>
            <w:tcW w:w="623" w:type="pct"/>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153D63" w:themeFill="text2" w:themeFillTint="E6"/>
            <w:vAlign w:val="center"/>
          </w:tcPr>
          <w:p w14:paraId="34F68A78" w14:textId="77777777" w:rsidR="00690670" w:rsidRPr="007E08F7" w:rsidRDefault="00690670" w:rsidP="003D2CB6">
            <w:pPr>
              <w:spacing w:line="259" w:lineRule="auto"/>
              <w:rPr>
                <w:rFonts w:eastAsia="Aptos"/>
                <w:b/>
                <w:color w:val="FFFFFF" w:themeColor="background1"/>
              </w:rPr>
            </w:pPr>
            <w:r w:rsidRPr="007E08F7">
              <w:rPr>
                <w:rFonts w:eastAsia="Aptos"/>
                <w:b/>
                <w:color w:val="FFFFFF" w:themeColor="background1"/>
              </w:rPr>
              <w:t>Źródło danych</w:t>
            </w:r>
          </w:p>
        </w:tc>
      </w:tr>
      <w:tr w:rsidR="00690670" w:rsidRPr="007E08F7" w14:paraId="5543C75F" w14:textId="77777777" w:rsidTr="003B6915">
        <w:trPr>
          <w:trHeight w:val="350"/>
        </w:trPr>
        <w:tc>
          <w:tcPr>
            <w:tcW w:w="2657" w:type="pct"/>
            <w:tcBorders>
              <w:top w:val="single" w:sz="4" w:space="0" w:color="000000" w:themeColor="text1"/>
            </w:tcBorders>
            <w:vAlign w:val="center"/>
          </w:tcPr>
          <w:p w14:paraId="19B93F9C" w14:textId="77777777" w:rsidR="00690670" w:rsidRPr="007E08F7" w:rsidRDefault="00690670" w:rsidP="00B51534">
            <w:pPr>
              <w:rPr>
                <w:rFonts w:eastAsia="Aptos"/>
              </w:rPr>
            </w:pPr>
            <w:r w:rsidRPr="007E08F7">
              <w:rPr>
                <w:rFonts w:eastAsia="Aptos"/>
              </w:rPr>
              <w:t>Wskaźnik zatrudnienia osób w wieku:</w:t>
            </w:r>
          </w:p>
          <w:p w14:paraId="72C9FF16" w14:textId="14FB4789" w:rsidR="00690670" w:rsidRPr="007E08F7" w:rsidRDefault="00690670" w:rsidP="00B51534">
            <w:pPr>
              <w:rPr>
                <w:rFonts w:eastAsia="Aptos"/>
              </w:rPr>
            </w:pPr>
            <w:r w:rsidRPr="007E08F7">
              <w:rPr>
                <w:rFonts w:eastAsia="Aptos"/>
              </w:rPr>
              <w:t>– 18-59/64</w:t>
            </w:r>
          </w:p>
          <w:p w14:paraId="4A4BF0C5" w14:textId="46A4E3E0" w:rsidR="00690670" w:rsidRPr="007E08F7" w:rsidRDefault="00690670" w:rsidP="00B51534">
            <w:pPr>
              <w:rPr>
                <w:rFonts w:eastAsia="Aptos"/>
                <w:bCs/>
              </w:rPr>
            </w:pPr>
            <w:r w:rsidRPr="007E08F7">
              <w:rPr>
                <w:rFonts w:eastAsia="Aptos"/>
              </w:rPr>
              <w:t>– 50-89 lat</w:t>
            </w:r>
          </w:p>
        </w:tc>
        <w:tc>
          <w:tcPr>
            <w:tcW w:w="705" w:type="pct"/>
            <w:tcBorders>
              <w:top w:val="single" w:sz="4" w:space="0" w:color="000000" w:themeColor="text1"/>
            </w:tcBorders>
            <w:vAlign w:val="center"/>
          </w:tcPr>
          <w:p w14:paraId="5E60801E" w14:textId="77777777" w:rsidR="00690670" w:rsidRPr="007E08F7" w:rsidRDefault="00690670" w:rsidP="00B51534">
            <w:pPr>
              <w:rPr>
                <w:rFonts w:eastAsia="Aptos"/>
              </w:rPr>
            </w:pPr>
            <w:r w:rsidRPr="007E08F7">
              <w:rPr>
                <w:rFonts w:eastAsia="Aptos"/>
              </w:rPr>
              <w:t>80,5%</w:t>
            </w:r>
          </w:p>
          <w:p w14:paraId="371FF4D6" w14:textId="77777777" w:rsidR="00690670" w:rsidRPr="007E08F7" w:rsidRDefault="00690670" w:rsidP="00B51534">
            <w:pPr>
              <w:rPr>
                <w:rFonts w:eastAsia="Aptos"/>
              </w:rPr>
            </w:pPr>
            <w:r w:rsidRPr="007E08F7">
              <w:rPr>
                <w:rFonts w:eastAsia="Aptos"/>
              </w:rPr>
              <w:t>37,9%</w:t>
            </w:r>
          </w:p>
          <w:p w14:paraId="60008BD5" w14:textId="77777777" w:rsidR="00690670" w:rsidRPr="007E08F7" w:rsidRDefault="00690670" w:rsidP="00B51534">
            <w:pPr>
              <w:rPr>
                <w:rFonts w:eastAsia="Aptos"/>
              </w:rPr>
            </w:pPr>
            <w:r w:rsidRPr="007E08F7">
              <w:rPr>
                <w:rFonts w:eastAsia="Aptos"/>
              </w:rPr>
              <w:t>(2025)</w:t>
            </w:r>
          </w:p>
        </w:tc>
        <w:tc>
          <w:tcPr>
            <w:tcW w:w="1016" w:type="pct"/>
            <w:tcBorders>
              <w:top w:val="single" w:sz="4" w:space="0" w:color="000000" w:themeColor="text1"/>
            </w:tcBorders>
            <w:vAlign w:val="center"/>
          </w:tcPr>
          <w:p w14:paraId="10015F45" w14:textId="4245B2FA" w:rsidR="00690670" w:rsidRPr="007E08F7" w:rsidRDefault="006059BE" w:rsidP="00B51534">
            <w:pPr>
              <w:rPr>
                <w:rFonts w:eastAsia="Aptos"/>
              </w:rPr>
            </w:pPr>
            <w:r w:rsidRPr="007E08F7">
              <w:rPr>
                <w:rFonts w:eastAsia="Aptos"/>
              </w:rPr>
              <w:t>d</w:t>
            </w:r>
            <w:r w:rsidR="00690670" w:rsidRPr="007E08F7">
              <w:rPr>
                <w:rFonts w:eastAsia="Aptos"/>
              </w:rPr>
              <w:t>o</w:t>
            </w:r>
            <w:r w:rsidRPr="007E08F7">
              <w:rPr>
                <w:rFonts w:eastAsia="Aptos"/>
              </w:rPr>
              <w:t xml:space="preserve"> </w:t>
            </w:r>
            <w:r w:rsidR="00690670" w:rsidRPr="007E08F7">
              <w:rPr>
                <w:rFonts w:eastAsia="Aptos"/>
              </w:rPr>
              <w:t>uzupełnienia</w:t>
            </w:r>
          </w:p>
        </w:tc>
        <w:tc>
          <w:tcPr>
            <w:tcW w:w="623" w:type="pct"/>
            <w:tcBorders>
              <w:top w:val="single" w:sz="4" w:space="0" w:color="000000" w:themeColor="text1"/>
            </w:tcBorders>
            <w:vAlign w:val="center"/>
          </w:tcPr>
          <w:p w14:paraId="1FB09B55" w14:textId="77777777" w:rsidR="00690670" w:rsidRPr="007E08F7" w:rsidRDefault="00690670" w:rsidP="00B51534">
            <w:pPr>
              <w:rPr>
                <w:rFonts w:eastAsia="Aptos"/>
              </w:rPr>
            </w:pPr>
            <w:r w:rsidRPr="007E08F7">
              <w:rPr>
                <w:rFonts w:eastAsia="Aptos"/>
              </w:rPr>
              <w:t>GUS</w:t>
            </w:r>
          </w:p>
        </w:tc>
      </w:tr>
      <w:tr w:rsidR="00690670" w:rsidRPr="007E08F7" w14:paraId="5924628C" w14:textId="77777777" w:rsidTr="003B6915">
        <w:trPr>
          <w:trHeight w:val="350"/>
        </w:trPr>
        <w:tc>
          <w:tcPr>
            <w:tcW w:w="2657" w:type="pct"/>
            <w:vAlign w:val="center"/>
          </w:tcPr>
          <w:p w14:paraId="244469E5" w14:textId="77777777" w:rsidR="00690670" w:rsidRPr="007E08F7" w:rsidRDefault="00690670" w:rsidP="00B51534">
            <w:pPr>
              <w:rPr>
                <w:rFonts w:eastAsia="Aptos"/>
                <w:bCs/>
              </w:rPr>
            </w:pPr>
            <w:r w:rsidRPr="007E08F7">
              <w:rPr>
                <w:rFonts w:eastAsia="Aptos"/>
              </w:rPr>
              <w:t>Udział zatrudnionych w działalności naukowo-technologicznej (HRSTC) wśród osób aktywnych zawodowo</w:t>
            </w:r>
          </w:p>
        </w:tc>
        <w:tc>
          <w:tcPr>
            <w:tcW w:w="705" w:type="pct"/>
            <w:vAlign w:val="center"/>
          </w:tcPr>
          <w:p w14:paraId="6F9F3C9F" w14:textId="77777777" w:rsidR="00690670" w:rsidRPr="007E08F7" w:rsidRDefault="00690670" w:rsidP="00B51534">
            <w:pPr>
              <w:rPr>
                <w:rFonts w:eastAsia="Aptos"/>
              </w:rPr>
            </w:pPr>
            <w:r w:rsidRPr="007E08F7">
              <w:rPr>
                <w:rFonts w:eastAsia="Aptos"/>
              </w:rPr>
              <w:t>54,3%</w:t>
            </w:r>
            <w:r w:rsidRPr="007E08F7">
              <w:rPr>
                <w:rFonts w:eastAsia="Aptos"/>
              </w:rPr>
              <w:br/>
              <w:t>(2025)</w:t>
            </w:r>
          </w:p>
        </w:tc>
        <w:tc>
          <w:tcPr>
            <w:tcW w:w="1016" w:type="pct"/>
            <w:vAlign w:val="center"/>
          </w:tcPr>
          <w:p w14:paraId="64BB298C" w14:textId="4975CCCA" w:rsidR="00690670" w:rsidRPr="007E08F7" w:rsidRDefault="00690670" w:rsidP="00B51534">
            <w:pPr>
              <w:rPr>
                <w:rFonts w:eastAsia="Aptos"/>
              </w:rPr>
            </w:pPr>
            <w:r w:rsidRPr="007E08F7">
              <w:rPr>
                <w:rFonts w:eastAsia="Aptos"/>
              </w:rPr>
              <w:t xml:space="preserve">do uzupełnienia </w:t>
            </w:r>
          </w:p>
        </w:tc>
        <w:tc>
          <w:tcPr>
            <w:tcW w:w="623" w:type="pct"/>
            <w:vAlign w:val="center"/>
          </w:tcPr>
          <w:p w14:paraId="7B35C71B" w14:textId="77777777" w:rsidR="00690670" w:rsidRPr="007E08F7" w:rsidRDefault="00690670" w:rsidP="00B51534">
            <w:pPr>
              <w:rPr>
                <w:rFonts w:eastAsia="Aptos"/>
              </w:rPr>
            </w:pPr>
            <w:r w:rsidRPr="007E08F7">
              <w:rPr>
                <w:rFonts w:eastAsia="Aptos"/>
              </w:rPr>
              <w:t>Eurostat</w:t>
            </w:r>
          </w:p>
        </w:tc>
      </w:tr>
      <w:tr w:rsidR="00690670" w:rsidRPr="007E08F7" w14:paraId="0314542C" w14:textId="77777777" w:rsidTr="003B6915">
        <w:trPr>
          <w:trHeight w:val="271"/>
        </w:trPr>
        <w:tc>
          <w:tcPr>
            <w:tcW w:w="2657" w:type="pct"/>
            <w:vAlign w:val="center"/>
          </w:tcPr>
          <w:p w14:paraId="63E58BEB" w14:textId="77777777" w:rsidR="00690670" w:rsidRPr="007E08F7" w:rsidRDefault="00690670" w:rsidP="00B51534">
            <w:pPr>
              <w:rPr>
                <w:rFonts w:eastAsia="Aptos"/>
              </w:rPr>
            </w:pPr>
            <w:r w:rsidRPr="007E08F7">
              <w:rPr>
                <w:rFonts w:eastAsia="Aptos"/>
                <w:bCs/>
              </w:rPr>
              <w:t>Odsetek osób w wieku 25-64 lata uczestniczących w kształceniu ustawicznym</w:t>
            </w:r>
          </w:p>
        </w:tc>
        <w:tc>
          <w:tcPr>
            <w:tcW w:w="705" w:type="pct"/>
            <w:vAlign w:val="center"/>
          </w:tcPr>
          <w:p w14:paraId="7835A842" w14:textId="77777777" w:rsidR="00690670" w:rsidRPr="007E08F7" w:rsidRDefault="00690670" w:rsidP="00B51534">
            <w:pPr>
              <w:rPr>
                <w:rFonts w:eastAsia="Aptos"/>
              </w:rPr>
            </w:pPr>
            <w:r w:rsidRPr="007E08F7">
              <w:rPr>
                <w:rFonts w:eastAsia="Aptos"/>
              </w:rPr>
              <w:t>9,1%</w:t>
            </w:r>
          </w:p>
          <w:p w14:paraId="3D84EFC7" w14:textId="77777777" w:rsidR="00690670" w:rsidRPr="007E08F7" w:rsidRDefault="00690670" w:rsidP="00B51534">
            <w:pPr>
              <w:rPr>
                <w:rFonts w:eastAsia="Aptos"/>
              </w:rPr>
            </w:pPr>
            <w:r w:rsidRPr="007E08F7">
              <w:rPr>
                <w:rFonts w:eastAsia="Aptos"/>
              </w:rPr>
              <w:t>(2025)</w:t>
            </w:r>
          </w:p>
        </w:tc>
        <w:tc>
          <w:tcPr>
            <w:tcW w:w="1016" w:type="pct"/>
            <w:vAlign w:val="center"/>
          </w:tcPr>
          <w:p w14:paraId="0F18AD9E" w14:textId="473E3215" w:rsidR="00690670" w:rsidRPr="007E08F7" w:rsidRDefault="00690670" w:rsidP="00B51534">
            <w:pPr>
              <w:rPr>
                <w:rFonts w:eastAsia="Aptos"/>
              </w:rPr>
            </w:pPr>
            <w:r w:rsidRPr="007E08F7">
              <w:rPr>
                <w:rFonts w:eastAsia="Aptos"/>
              </w:rPr>
              <w:t>do uzupełnienia</w:t>
            </w:r>
          </w:p>
        </w:tc>
        <w:tc>
          <w:tcPr>
            <w:tcW w:w="623" w:type="pct"/>
            <w:vAlign w:val="center"/>
          </w:tcPr>
          <w:p w14:paraId="40C93C1F" w14:textId="77777777" w:rsidR="00690670" w:rsidRPr="007E08F7" w:rsidRDefault="00690670" w:rsidP="00B51534">
            <w:pPr>
              <w:rPr>
                <w:rFonts w:eastAsia="Aptos"/>
              </w:rPr>
            </w:pPr>
            <w:r w:rsidRPr="007E08F7">
              <w:rPr>
                <w:rFonts w:eastAsia="Aptos"/>
              </w:rPr>
              <w:t>Eurostat</w:t>
            </w:r>
          </w:p>
        </w:tc>
      </w:tr>
      <w:tr w:rsidR="00690670" w:rsidRPr="007E08F7" w14:paraId="2C404B41" w14:textId="77777777" w:rsidTr="003B6915">
        <w:trPr>
          <w:trHeight w:val="271"/>
        </w:trPr>
        <w:tc>
          <w:tcPr>
            <w:tcW w:w="2657" w:type="pct"/>
            <w:vAlign w:val="center"/>
          </w:tcPr>
          <w:p w14:paraId="190D19CC" w14:textId="23760F49" w:rsidR="00690670" w:rsidRPr="007E08F7" w:rsidRDefault="00690670" w:rsidP="00B51534">
            <w:pPr>
              <w:rPr>
                <w:rFonts w:eastAsia="Aptos"/>
              </w:rPr>
            </w:pPr>
            <w:r w:rsidRPr="007E08F7">
              <w:rPr>
                <w:rFonts w:eastAsia="Aptos"/>
              </w:rPr>
              <w:t>Odsetek absolwentów szkół branżowych I</w:t>
            </w:r>
            <w:r w:rsidR="003B6915" w:rsidRPr="007E08F7">
              <w:rPr>
                <w:rFonts w:eastAsia="Aptos"/>
              </w:rPr>
              <w:t> </w:t>
            </w:r>
            <w:r w:rsidRPr="007E08F7">
              <w:rPr>
                <w:rFonts w:eastAsia="Aptos"/>
              </w:rPr>
              <w:t>stopnia i techników, podejmujących pracę lub</w:t>
            </w:r>
            <w:r w:rsidR="003B6915" w:rsidRPr="007E08F7">
              <w:rPr>
                <w:rFonts w:eastAsia="Aptos"/>
              </w:rPr>
              <w:t> </w:t>
            </w:r>
            <w:r w:rsidRPr="007E08F7">
              <w:rPr>
                <w:rFonts w:eastAsia="Aptos"/>
              </w:rPr>
              <w:t>kontynuujących naukę w ciągu 2 lat od</w:t>
            </w:r>
            <w:r w:rsidR="003B6915" w:rsidRPr="007E08F7">
              <w:rPr>
                <w:rFonts w:eastAsia="Aptos"/>
              </w:rPr>
              <w:t> </w:t>
            </w:r>
            <w:r w:rsidRPr="007E08F7">
              <w:rPr>
                <w:rFonts w:eastAsia="Aptos"/>
              </w:rPr>
              <w:t>ukończenia szkoły</w:t>
            </w:r>
          </w:p>
        </w:tc>
        <w:tc>
          <w:tcPr>
            <w:tcW w:w="705" w:type="pct"/>
            <w:vAlign w:val="center"/>
          </w:tcPr>
          <w:p w14:paraId="26A35CAF" w14:textId="77777777" w:rsidR="00690670" w:rsidRPr="007E08F7" w:rsidRDefault="00690670" w:rsidP="00B51534">
            <w:pPr>
              <w:rPr>
                <w:rFonts w:eastAsia="Aptos"/>
              </w:rPr>
            </w:pPr>
            <w:r w:rsidRPr="007E08F7">
              <w:rPr>
                <w:rFonts w:eastAsia="Aptos"/>
              </w:rPr>
              <w:t>71%</w:t>
            </w:r>
          </w:p>
          <w:p w14:paraId="64277A8B" w14:textId="77777777" w:rsidR="00690670" w:rsidRPr="007E08F7" w:rsidRDefault="00690670" w:rsidP="00B51534">
            <w:pPr>
              <w:rPr>
                <w:rFonts w:eastAsia="Aptos"/>
              </w:rPr>
            </w:pPr>
            <w:r w:rsidRPr="007E08F7">
              <w:rPr>
                <w:rFonts w:eastAsia="Aptos"/>
              </w:rPr>
              <w:t>(2024)</w:t>
            </w:r>
          </w:p>
        </w:tc>
        <w:tc>
          <w:tcPr>
            <w:tcW w:w="1016" w:type="pct"/>
            <w:vAlign w:val="center"/>
          </w:tcPr>
          <w:p w14:paraId="441DF635" w14:textId="38141B28" w:rsidR="00690670" w:rsidRPr="007E08F7" w:rsidRDefault="00690670" w:rsidP="00B51534">
            <w:pPr>
              <w:rPr>
                <w:rFonts w:eastAsia="Aptos"/>
              </w:rPr>
            </w:pPr>
            <w:r w:rsidRPr="007E08F7">
              <w:rPr>
                <w:rFonts w:eastAsia="Aptos"/>
              </w:rPr>
              <w:t>do uzupełnienia</w:t>
            </w:r>
          </w:p>
        </w:tc>
        <w:tc>
          <w:tcPr>
            <w:tcW w:w="623" w:type="pct"/>
            <w:vAlign w:val="center"/>
          </w:tcPr>
          <w:p w14:paraId="4C7B2B7D" w14:textId="77777777" w:rsidR="00690670" w:rsidRPr="007E08F7" w:rsidRDefault="00690670" w:rsidP="00B51534">
            <w:pPr>
              <w:rPr>
                <w:rFonts w:eastAsia="Aptos"/>
              </w:rPr>
            </w:pPr>
            <w:r w:rsidRPr="007E08F7">
              <w:rPr>
                <w:rFonts w:eastAsia="Aptos"/>
              </w:rPr>
              <w:t>MEN</w:t>
            </w:r>
          </w:p>
        </w:tc>
      </w:tr>
      <w:tr w:rsidR="00690670" w:rsidRPr="007E08F7" w14:paraId="55F4FBCE" w14:textId="77777777" w:rsidTr="003B6915">
        <w:trPr>
          <w:trHeight w:val="271"/>
        </w:trPr>
        <w:tc>
          <w:tcPr>
            <w:tcW w:w="2657" w:type="pct"/>
            <w:vAlign w:val="center"/>
          </w:tcPr>
          <w:p w14:paraId="3993C538" w14:textId="77777777" w:rsidR="00690670" w:rsidRPr="007E08F7" w:rsidRDefault="00690670" w:rsidP="003B6915">
            <w:pPr>
              <w:spacing w:after="120"/>
              <w:rPr>
                <w:rFonts w:eastAsia="Aptos"/>
              </w:rPr>
            </w:pPr>
            <w:r w:rsidRPr="007E08F7">
              <w:rPr>
                <w:rFonts w:eastAsia="Aptos"/>
              </w:rPr>
              <w:t>Odsetek osób w wieku 15-29 lat niepracujących, nieuczących się i nieszkolących się (NEET)</w:t>
            </w:r>
          </w:p>
        </w:tc>
        <w:tc>
          <w:tcPr>
            <w:tcW w:w="705" w:type="pct"/>
            <w:vAlign w:val="center"/>
          </w:tcPr>
          <w:p w14:paraId="7501CF8E" w14:textId="77777777" w:rsidR="00690670" w:rsidRPr="007E08F7" w:rsidRDefault="00690670" w:rsidP="00B51534">
            <w:pPr>
              <w:rPr>
                <w:rFonts w:eastAsia="Aptos"/>
              </w:rPr>
            </w:pPr>
            <w:r w:rsidRPr="007E08F7">
              <w:rPr>
                <w:rFonts w:eastAsia="Aptos"/>
              </w:rPr>
              <w:t>10,0%</w:t>
            </w:r>
          </w:p>
          <w:p w14:paraId="61846F19" w14:textId="77777777" w:rsidR="00690670" w:rsidRPr="007E08F7" w:rsidRDefault="00690670" w:rsidP="003B6915">
            <w:pPr>
              <w:spacing w:after="120"/>
              <w:rPr>
                <w:rFonts w:eastAsia="Aptos"/>
              </w:rPr>
            </w:pPr>
            <w:r w:rsidRPr="007E08F7">
              <w:rPr>
                <w:rFonts w:eastAsia="Aptos"/>
              </w:rPr>
              <w:t>(2025)</w:t>
            </w:r>
          </w:p>
        </w:tc>
        <w:tc>
          <w:tcPr>
            <w:tcW w:w="1016" w:type="pct"/>
            <w:vAlign w:val="center"/>
          </w:tcPr>
          <w:p w14:paraId="30A6FD4E" w14:textId="04FA6EEC" w:rsidR="00690670" w:rsidRPr="007E08F7" w:rsidRDefault="00690670" w:rsidP="003B6915">
            <w:pPr>
              <w:spacing w:after="120"/>
              <w:rPr>
                <w:rFonts w:eastAsia="Aptos"/>
              </w:rPr>
            </w:pPr>
            <w:r w:rsidRPr="007E08F7">
              <w:rPr>
                <w:rFonts w:eastAsia="Aptos"/>
              </w:rPr>
              <w:t>do uzupełnienia</w:t>
            </w:r>
          </w:p>
        </w:tc>
        <w:tc>
          <w:tcPr>
            <w:tcW w:w="623" w:type="pct"/>
            <w:vAlign w:val="center"/>
          </w:tcPr>
          <w:p w14:paraId="11507068" w14:textId="77777777" w:rsidR="00690670" w:rsidRPr="007E08F7" w:rsidRDefault="00690670" w:rsidP="003B6915">
            <w:pPr>
              <w:spacing w:after="120"/>
              <w:rPr>
                <w:rFonts w:eastAsia="Aptos"/>
              </w:rPr>
            </w:pPr>
            <w:r w:rsidRPr="007E08F7">
              <w:rPr>
                <w:rFonts w:eastAsia="Aptos"/>
              </w:rPr>
              <w:t>Eurostat</w:t>
            </w:r>
          </w:p>
        </w:tc>
      </w:tr>
    </w:tbl>
    <w:p w14:paraId="648E410B" w14:textId="51996CF2" w:rsidR="00326F29" w:rsidRPr="007E08F7" w:rsidRDefault="00326F29" w:rsidP="000F55D7">
      <w:pPr>
        <w:pStyle w:val="Nagwek4"/>
        <w:rPr>
          <w:iCs w:val="0"/>
        </w:rPr>
      </w:pPr>
      <w:r w:rsidRPr="007E08F7">
        <w:rPr>
          <w:iCs w:val="0"/>
        </w:rPr>
        <w:lastRenderedPageBreak/>
        <w:t>Postulaty wobec władz centralnych</w:t>
      </w:r>
      <w:r w:rsidR="00EF7D8D" w:rsidRPr="007E08F7">
        <w:rPr>
          <w:iCs w:val="0"/>
        </w:rPr>
        <w:t xml:space="preserve"> CO 1.4</w:t>
      </w:r>
    </w:p>
    <w:p w14:paraId="40623C3B" w14:textId="77777777" w:rsidR="00326F29" w:rsidRPr="007E08F7" w:rsidRDefault="00326F29">
      <w:pPr>
        <w:pStyle w:val="Akapitzlist"/>
        <w:numPr>
          <w:ilvl w:val="0"/>
          <w:numId w:val="40"/>
        </w:numPr>
        <w:spacing w:before="120" w:after="120" w:line="288" w:lineRule="auto"/>
        <w:ind w:left="426" w:hanging="426"/>
        <w:contextualSpacing w:val="0"/>
        <w:rPr>
          <w:rFonts w:asciiTheme="minorHAnsi" w:hAnsiTheme="minorHAnsi" w:cstheme="minorHAnsi"/>
        </w:rPr>
      </w:pPr>
      <w:r w:rsidRPr="007E08F7">
        <w:rPr>
          <w:rFonts w:asciiTheme="minorHAnsi" w:hAnsiTheme="minorHAnsi" w:cstheme="minorHAnsi"/>
        </w:rPr>
        <w:t xml:space="preserve">Zapewnienie samorządom województw realnego wpływu na obszar kształcenia zawodowego i ustawicznego oraz edukacji wyższej, w tym: </w:t>
      </w:r>
    </w:p>
    <w:p w14:paraId="13AD793B" w14:textId="6AA19733" w:rsidR="00326F29" w:rsidRPr="007E08F7" w:rsidRDefault="00326F29">
      <w:pPr>
        <w:pStyle w:val="Akapitzlist"/>
        <w:numPr>
          <w:ilvl w:val="1"/>
          <w:numId w:val="40"/>
        </w:numPr>
        <w:spacing w:before="120" w:after="120" w:line="288" w:lineRule="auto"/>
        <w:ind w:left="851" w:hanging="425"/>
        <w:contextualSpacing w:val="0"/>
        <w:rPr>
          <w:rFonts w:asciiTheme="minorHAnsi" w:hAnsiTheme="minorHAnsi" w:cstheme="minorHAnsi"/>
        </w:rPr>
      </w:pPr>
      <w:r w:rsidRPr="007E08F7">
        <w:rPr>
          <w:rFonts w:asciiTheme="minorHAnsi" w:hAnsiTheme="minorHAnsi" w:cstheme="minorHAnsi"/>
        </w:rPr>
        <w:t>utworzenie regionalnego funduszu adaptacyjno-transformacyjnego przeznaczonego m.in. na uruchamianie zamawianych kierunków studiów i</w:t>
      </w:r>
      <w:r w:rsidR="0076110A" w:rsidRPr="007E08F7">
        <w:rPr>
          <w:rFonts w:asciiTheme="minorHAnsi" w:hAnsiTheme="minorHAnsi" w:cstheme="minorHAnsi"/>
        </w:rPr>
        <w:t> </w:t>
      </w:r>
      <w:r w:rsidRPr="007E08F7">
        <w:rPr>
          <w:rFonts w:asciiTheme="minorHAnsi" w:hAnsiTheme="minorHAnsi" w:cstheme="minorHAnsi"/>
        </w:rPr>
        <w:t>kształcenia zawodowego oraz krótkich form szkoleniowych na potrzeby strategicznych sektorów i technologii</w:t>
      </w:r>
      <w:r w:rsidR="00086FDF" w:rsidRPr="007E08F7">
        <w:rPr>
          <w:rFonts w:asciiTheme="minorHAnsi" w:hAnsiTheme="minorHAnsi" w:cstheme="minorHAnsi"/>
        </w:rPr>
        <w:t>;</w:t>
      </w:r>
    </w:p>
    <w:p w14:paraId="01107F17" w14:textId="7486D31F" w:rsidR="00326F29" w:rsidRPr="007E08F7" w:rsidRDefault="00326F29">
      <w:pPr>
        <w:pStyle w:val="Akapitzlist"/>
        <w:numPr>
          <w:ilvl w:val="1"/>
          <w:numId w:val="40"/>
        </w:numPr>
        <w:spacing w:before="120" w:after="120" w:line="288" w:lineRule="auto"/>
        <w:ind w:left="851" w:hanging="425"/>
        <w:contextualSpacing w:val="0"/>
        <w:rPr>
          <w:rFonts w:asciiTheme="minorHAnsi" w:hAnsiTheme="minorHAnsi" w:cstheme="minorHAnsi"/>
        </w:rPr>
      </w:pPr>
      <w:r w:rsidRPr="007E08F7">
        <w:rPr>
          <w:rFonts w:asciiTheme="minorHAnsi" w:hAnsiTheme="minorHAnsi" w:cstheme="minorHAnsi"/>
        </w:rPr>
        <w:t>przeniesienie koordynacji tworzenia sieci branżowych centrów umiejętności na</w:t>
      </w:r>
      <w:r w:rsidR="003B6915" w:rsidRPr="007E08F7">
        <w:rPr>
          <w:rFonts w:asciiTheme="minorHAnsi" w:hAnsiTheme="minorHAnsi" w:cstheme="minorHAnsi"/>
        </w:rPr>
        <w:t> </w:t>
      </w:r>
      <w:r w:rsidRPr="007E08F7">
        <w:rPr>
          <w:rFonts w:asciiTheme="minorHAnsi" w:hAnsiTheme="minorHAnsi" w:cstheme="minorHAnsi"/>
        </w:rPr>
        <w:t>poziom regionu</w:t>
      </w:r>
      <w:r w:rsidR="00086FDF" w:rsidRPr="007E08F7">
        <w:rPr>
          <w:rFonts w:asciiTheme="minorHAnsi" w:eastAsia="Aptos" w:hAnsiTheme="minorHAnsi"/>
        </w:rPr>
        <w:t>;</w:t>
      </w:r>
    </w:p>
    <w:p w14:paraId="70E840BC" w14:textId="77777777" w:rsidR="00326F29" w:rsidRPr="007E08F7" w:rsidRDefault="00326F29">
      <w:pPr>
        <w:pStyle w:val="Akapitzlist"/>
        <w:numPr>
          <w:ilvl w:val="1"/>
          <w:numId w:val="40"/>
        </w:numPr>
        <w:spacing w:before="120" w:after="120" w:line="288" w:lineRule="auto"/>
        <w:ind w:left="851" w:hanging="425"/>
        <w:contextualSpacing w:val="0"/>
        <w:rPr>
          <w:rFonts w:asciiTheme="minorHAnsi" w:hAnsiTheme="minorHAnsi" w:cstheme="minorHAnsi"/>
        </w:rPr>
      </w:pPr>
      <w:r w:rsidRPr="007E08F7">
        <w:rPr>
          <w:rFonts w:asciiTheme="minorHAnsi" w:hAnsiTheme="minorHAnsi" w:cstheme="minorHAnsi"/>
        </w:rPr>
        <w:t>wzmocnienie roli wojewódzkich zespołów koordynacji ds. polityki umiejętności.</w:t>
      </w:r>
    </w:p>
    <w:p w14:paraId="19087306" w14:textId="30667A17" w:rsidR="00326F29" w:rsidRPr="007E08F7" w:rsidRDefault="00326F29">
      <w:pPr>
        <w:pStyle w:val="Akapitzlist"/>
        <w:numPr>
          <w:ilvl w:val="0"/>
          <w:numId w:val="40"/>
        </w:numPr>
        <w:spacing w:before="120" w:after="120" w:line="288" w:lineRule="auto"/>
        <w:ind w:left="426" w:hanging="426"/>
        <w:contextualSpacing w:val="0"/>
        <w:rPr>
          <w:rFonts w:asciiTheme="minorHAnsi" w:hAnsiTheme="minorHAnsi" w:cstheme="minorHAnsi"/>
        </w:rPr>
      </w:pPr>
      <w:r w:rsidRPr="007E08F7">
        <w:rPr>
          <w:rFonts w:asciiTheme="minorHAnsi" w:hAnsiTheme="minorHAnsi" w:cstheme="minorHAnsi"/>
        </w:rPr>
        <w:t>Wprowadzenie optymalnych rozwiązań umożliwiających zatrudnianie specjalistów z</w:t>
      </w:r>
      <w:r w:rsidR="0076110A" w:rsidRPr="007E08F7">
        <w:rPr>
          <w:rFonts w:asciiTheme="minorHAnsi" w:hAnsiTheme="minorHAnsi" w:cstheme="minorHAnsi"/>
        </w:rPr>
        <w:t> </w:t>
      </w:r>
      <w:r w:rsidRPr="007E08F7">
        <w:rPr>
          <w:rFonts w:asciiTheme="minorHAnsi" w:hAnsiTheme="minorHAnsi" w:cstheme="minorHAnsi"/>
        </w:rPr>
        <w:t>sektora przedsiębiorstw do pracy dydaktycznej w szkołach zawodowych.</w:t>
      </w:r>
    </w:p>
    <w:p w14:paraId="4BC08359" w14:textId="77777777" w:rsidR="00326F29" w:rsidRPr="007E08F7" w:rsidRDefault="00326F29">
      <w:pPr>
        <w:pStyle w:val="Akapitzlist"/>
        <w:numPr>
          <w:ilvl w:val="0"/>
          <w:numId w:val="40"/>
        </w:numPr>
        <w:spacing w:before="120" w:after="120" w:line="288" w:lineRule="auto"/>
        <w:ind w:left="426" w:hanging="426"/>
        <w:contextualSpacing w:val="0"/>
        <w:rPr>
          <w:rFonts w:asciiTheme="minorHAnsi" w:hAnsiTheme="minorHAnsi" w:cstheme="minorHAnsi"/>
        </w:rPr>
      </w:pPr>
      <w:r w:rsidRPr="007E08F7">
        <w:rPr>
          <w:rFonts w:asciiTheme="minorHAnsi" w:hAnsiTheme="minorHAnsi" w:cstheme="minorHAnsi"/>
        </w:rPr>
        <w:t>Uelastycznienie programów nauczania w szkołach zawodowych umożliwiające realizację szkoleń dających certyfikowane uprawnienia zawodowe.</w:t>
      </w:r>
    </w:p>
    <w:p w14:paraId="6C2481B9" w14:textId="6BDFBCAD" w:rsidR="00961233" w:rsidRPr="007E08F7" w:rsidRDefault="00326F29">
      <w:pPr>
        <w:pStyle w:val="Akapitzlist"/>
        <w:numPr>
          <w:ilvl w:val="0"/>
          <w:numId w:val="40"/>
        </w:numPr>
        <w:spacing w:before="120" w:after="120" w:line="288" w:lineRule="auto"/>
        <w:ind w:left="426" w:hanging="426"/>
        <w:contextualSpacing w:val="0"/>
        <w:rPr>
          <w:rFonts w:asciiTheme="minorHAnsi" w:hAnsiTheme="minorHAnsi" w:cstheme="minorHAnsi"/>
        </w:rPr>
      </w:pPr>
      <w:r w:rsidRPr="007E08F7">
        <w:rPr>
          <w:rFonts w:asciiTheme="minorHAnsi" w:hAnsiTheme="minorHAnsi" w:cstheme="minorHAnsi"/>
        </w:rPr>
        <w:t>Uproszczenie procedur wizowych dla przyciągania i zatrzymywania talentów</w:t>
      </w:r>
      <w:r w:rsidR="005830FC" w:rsidRPr="007E08F7">
        <w:rPr>
          <w:rFonts w:asciiTheme="minorHAnsi" w:eastAsia="Aptos" w:hAnsiTheme="minorHAnsi"/>
          <w:b/>
          <w:bCs/>
        </w:rPr>
        <w:t>.</w:t>
      </w:r>
      <w:r w:rsidR="00C34703" w:rsidRPr="007E08F7">
        <w:rPr>
          <w:rFonts w:asciiTheme="minorHAnsi" w:hAnsiTheme="minorHAnsi"/>
        </w:rPr>
        <w:br w:type="page"/>
      </w:r>
    </w:p>
    <w:p w14:paraId="1B3A801A" w14:textId="717E41F4" w:rsidR="000725C9" w:rsidRPr="007E08F7" w:rsidRDefault="000725C9" w:rsidP="002774ED">
      <w:pPr>
        <w:pStyle w:val="Nagwek2"/>
      </w:pPr>
      <w:bookmarkStart w:id="54" w:name="_Toc239772081"/>
      <w:r w:rsidRPr="007E08F7">
        <w:lastRenderedPageBreak/>
        <w:t xml:space="preserve">Cel strategiczny 2. </w:t>
      </w:r>
      <w:r w:rsidR="000F55D7" w:rsidRPr="007E08F7">
        <w:t>Pomorze odporne i</w:t>
      </w:r>
      <w:r w:rsidR="00147EAB" w:rsidRPr="007E08F7">
        <w:t xml:space="preserve"> </w:t>
      </w:r>
      <w:r w:rsidR="000F55D7" w:rsidRPr="007E08F7">
        <w:t>bezpieczne</w:t>
      </w:r>
      <w:bookmarkEnd w:id="54"/>
    </w:p>
    <w:p w14:paraId="2E511B05" w14:textId="429BCED5" w:rsidR="000725C9" w:rsidRPr="007E08F7" w:rsidRDefault="000725C9" w:rsidP="003B6915">
      <w:pPr>
        <w:pStyle w:val="Nagwek3"/>
        <w:rPr>
          <w:rFonts w:eastAsia="Aptos"/>
        </w:rPr>
      </w:pPr>
      <w:bookmarkStart w:id="55" w:name="_Toc239772082"/>
      <w:r w:rsidRPr="007E08F7">
        <w:t>Przesłanki realizacji Celu strategicznego</w:t>
      </w:r>
      <w:r w:rsidR="00EF7D8D" w:rsidRPr="007E08F7">
        <w:t xml:space="preserve"> 2.</w:t>
      </w:r>
      <w:bookmarkEnd w:id="55"/>
    </w:p>
    <w:p w14:paraId="3E71081C" w14:textId="205E01FD" w:rsidR="000C0538" w:rsidRPr="007E08F7" w:rsidRDefault="000C0538" w:rsidP="000C0538">
      <w:pPr>
        <w:spacing w:before="120" w:after="120" w:line="288" w:lineRule="auto"/>
      </w:pPr>
      <w:r w:rsidRPr="007E08F7">
        <w:t>Zmiana uwarunkowań geopolitycznych, pandemia COVID-19, rewolucja cyfrowa oraz przyspieszone tempo zmian klimatycznych podkreśliły znaczenie odporności i bezpieczeństwa w kształtowaniu rozwoju społeczno-gospodarczego, jako fundamentu wysokiej jakości życia. Ze względu na obecność portów morskich, portu wojennego i tarczy antyrakietowej, a w przyszłości kluczowych elementów krajowego systemu energetycznego – morskich farm wiatrowych oraz elektrowni jądrowej, województwo pomorskie należy do regionów ponadprzeciętnie narażonych na działania hybrydowe, cyberataki, czy ryzyko ewentualnego konfliktu zbrojnego.</w:t>
      </w:r>
    </w:p>
    <w:p w14:paraId="1150DEF6" w14:textId="77777777" w:rsidR="000C0538" w:rsidRPr="007E08F7" w:rsidRDefault="000C0538" w:rsidP="000C0538">
      <w:pPr>
        <w:spacing w:before="120" w:after="120" w:line="288" w:lineRule="auto"/>
      </w:pPr>
      <w:r w:rsidRPr="007E08F7">
        <w:t>Jednym z kluczowych elementów determinujących regionalną odporność jest gotowość cywilna rozumiana zarówno jako zdolność do zapobiegania i radzenia sobie ze skutkami sytuacji kryzysowych, jak i zdolność do odbudowy w okresie pokryzysowym. Problemem jest niewystarczające przygotowanie administracji i służb publicznych do zagwarantowania ciągłości świadczenia kluczowych usług publicznych w sytuacjach kryzysowych oraz niedostatecznie rozwinięta infrastruktura miejsc schronienia. Także wiedza mieszkańców w zakresie obrony cywilnej jest ograniczona i wymaga wzmocnienia.</w:t>
      </w:r>
    </w:p>
    <w:p w14:paraId="66862D1A" w14:textId="5E607E2E" w:rsidR="000C0538" w:rsidRPr="007E08F7" w:rsidRDefault="000C0538" w:rsidP="000C0538">
      <w:pPr>
        <w:spacing w:before="120" w:after="120" w:line="288" w:lineRule="auto"/>
      </w:pPr>
      <w:r w:rsidRPr="007E08F7">
        <w:t>Postępująca cyfryzacja stała się nieodłączną częścią życia mieszkańców Pomorza. Choć powszechny dostęp do e-usług w obszarach zdrowia, edukacji, administracji, transportu i finansów znacząco ułatwia codzienne funkcjonowanie, to tworzy jednocześnie nowe ryzyka w przestrzeni cyfrowej. Intensywny rozwój mediów społecznościowych i komunikatorów zwiększa podatność na dezinformację, stwarza przestrzeń dla cyberprzemocy, często ukierunkowanej na dzieci i młodzież i może prowadzić do uzależnień behawioralnych</w:t>
      </w:r>
      <w:r w:rsidR="00A56875" w:rsidRPr="007E08F7">
        <w:t>.</w:t>
      </w:r>
    </w:p>
    <w:p w14:paraId="447D1EF4" w14:textId="36D59543" w:rsidR="000C0538" w:rsidRPr="007E08F7" w:rsidRDefault="000C0538" w:rsidP="000C0538">
      <w:pPr>
        <w:spacing w:before="120" w:after="120" w:line="288" w:lineRule="auto"/>
        <w:rPr>
          <w:rFonts w:eastAsia="Aptos"/>
        </w:rPr>
      </w:pPr>
      <w:r w:rsidRPr="007E08F7">
        <w:rPr>
          <w:rFonts w:eastAsia="Aptos"/>
        </w:rPr>
        <w:t>Ważnym aspektem dotyczącym zwiększania odporności i bezpieczeństwa regionu w świetle postępujących zmian klimatu są działania adaptacyjne. Najgroźniejsze zjawiska, związane są z brakiem lub nadmiarem wody. Z jednej strony</w:t>
      </w:r>
      <w:r w:rsidR="00A56875" w:rsidRPr="007E08F7">
        <w:rPr>
          <w:rFonts w:eastAsia="Aptos"/>
        </w:rPr>
        <w:t>,</w:t>
      </w:r>
      <w:r w:rsidRPr="007E08F7">
        <w:rPr>
          <w:rFonts w:eastAsia="Aptos"/>
        </w:rPr>
        <w:t xml:space="preserve"> istotne jest przeciwdziałanie skutkom suszy, a z drugiej zmniejszanie ryzyka wystąpienia lokalnych podtopień oraz powodzi, zarówno od strony rzek, jak i morza. Województwo musi być przygotowane na minimalizację skutków innych ekstremalnych zjawisk pogodowych, takich jak np. silne wiatry. Odporne i bezpieczne Pomorze, to także zabezpieczona przed różnymi zdarzeniami nadzwyczajnymi, w tym potencjalnymi atakami sabotażowymi, infrastruktura publiczna, w szczególności zaopatrzenia w wodę pitną oraz oczyszczania ścieków. Dużym wyzwaniem będzie również spełnienie nowych wymagań określonych w przyjętych dyrektywach Unii Europejskiej.</w:t>
      </w:r>
    </w:p>
    <w:p w14:paraId="0F194EAF" w14:textId="236608FF" w:rsidR="000C0538" w:rsidRPr="007E08F7" w:rsidRDefault="00A56875" w:rsidP="000C0538">
      <w:pPr>
        <w:spacing w:before="120" w:after="120" w:line="288" w:lineRule="auto"/>
        <w:rPr>
          <w:rFonts w:eastAsia="Aptos"/>
        </w:rPr>
      </w:pPr>
      <w:r w:rsidRPr="007E08F7">
        <w:rPr>
          <w:rFonts w:eastAsia="Aptos"/>
        </w:rPr>
        <w:lastRenderedPageBreak/>
        <w:t>I</w:t>
      </w:r>
      <w:r w:rsidR="000C0538" w:rsidRPr="007E08F7">
        <w:rPr>
          <w:rFonts w:eastAsia="Aptos"/>
        </w:rPr>
        <w:t>stotnym czynnikiem wpływającym na poziom odporności regionu jest różnorodność biologiczna i znajdujące się w równowadze ekosystemy. Należy dążyć do zwiększania powierzchni terenów zieleni, powierzchni lasów oraz obszarów chronionych, a także wzmacniać bogactwo gatunkowe pomorskiej fauny i flory.</w:t>
      </w:r>
    </w:p>
    <w:p w14:paraId="58EC5375" w14:textId="77777777" w:rsidR="000C0538" w:rsidRPr="007E08F7" w:rsidRDefault="000C0538" w:rsidP="000C0538">
      <w:pPr>
        <w:spacing w:before="120" w:after="120" w:line="288" w:lineRule="auto"/>
        <w:rPr>
          <w:rFonts w:eastAsia="Aptos"/>
        </w:rPr>
      </w:pPr>
      <w:r w:rsidRPr="007E08F7">
        <w:rPr>
          <w:rFonts w:eastAsia="Aptos"/>
        </w:rPr>
        <w:t>Jednym z filarów bezpiecznego i odpornego regionu jest kapitał społeczny, który bazuje na kulturze zaufania, dialogu, współpracy, aktywności społecznej, potencjale kulturowym, otwartości i krytycznym myśleniu. Jego wzmacnianie przyczyni się do stworzenia otwartej wspólnoty regionalnej, odpornej na sytuacje kryzysowe. Nie będzie to możliwe bez aktywnej roli instytucji kultury oraz silnych organizacji pozarządowych, które powinny stać się stabilnym filarem rozwoju lokalnego oraz partnerem sektora publicznego i prywatnego w realizacji usług dla mieszkańców.</w:t>
      </w:r>
    </w:p>
    <w:p w14:paraId="7D4A9F12" w14:textId="60E51870" w:rsidR="000C0538" w:rsidRPr="007E08F7" w:rsidRDefault="000C0538" w:rsidP="009F21B4">
      <w:pPr>
        <w:pStyle w:val="Nagwek3"/>
        <w:rPr>
          <w:rFonts w:eastAsia="Aptos"/>
        </w:rPr>
      </w:pPr>
      <w:bookmarkStart w:id="56" w:name="_Toc239772083"/>
      <w:r w:rsidRPr="007E08F7">
        <w:t>Pożądany kierunek zmian</w:t>
      </w:r>
      <w:r w:rsidR="00EF7D8D" w:rsidRPr="007E08F7">
        <w:t xml:space="preserve"> CS 2.</w:t>
      </w:r>
      <w:bookmarkEnd w:id="56"/>
    </w:p>
    <w:p w14:paraId="32C56123"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Wzmocnienie kompetencji społeczeństwa, w zakresie gotowości cywilnej i odporności na kryzysy;</w:t>
      </w:r>
    </w:p>
    <w:p w14:paraId="592C4F42"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Wzrost zdolności administracji i służb publicznych oraz infrastruktury w celu świadczenia kluczowych usług w sytuacjach zagrożenia;</w:t>
      </w:r>
    </w:p>
    <w:p w14:paraId="13E98520"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Rozwój infrastruktury schronienia;</w:t>
      </w:r>
    </w:p>
    <w:p w14:paraId="00A4D08E"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 xml:space="preserve">Poprawa </w:t>
      </w:r>
      <w:proofErr w:type="spellStart"/>
      <w:r w:rsidRPr="007E08F7">
        <w:rPr>
          <w:rFonts w:eastAsia="Aptos"/>
        </w:rPr>
        <w:t>cyberbezpieczeństwa</w:t>
      </w:r>
      <w:proofErr w:type="spellEnd"/>
      <w:r w:rsidRPr="007E08F7">
        <w:rPr>
          <w:rFonts w:eastAsia="Aptos"/>
        </w:rPr>
        <w:t xml:space="preserve"> poprzez podniesienie świadomości i higieny cyfrowej;</w:t>
      </w:r>
    </w:p>
    <w:p w14:paraId="4DE18657"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 xml:space="preserve">Wzmocnienie </w:t>
      </w:r>
      <w:proofErr w:type="spellStart"/>
      <w:r w:rsidRPr="007E08F7">
        <w:rPr>
          <w:rFonts w:eastAsia="Aptos"/>
        </w:rPr>
        <w:t>cyberbezpieczeństwa</w:t>
      </w:r>
      <w:proofErr w:type="spellEnd"/>
      <w:r w:rsidRPr="007E08F7">
        <w:rPr>
          <w:rFonts w:eastAsia="Aptos"/>
        </w:rPr>
        <w:t xml:space="preserve"> jednostek sektora publicznego;</w:t>
      </w:r>
    </w:p>
    <w:p w14:paraId="5FEB9EA2"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Minimalizacja skutków występowania ekstremalnych zjawisk pogodowych;</w:t>
      </w:r>
    </w:p>
    <w:p w14:paraId="6D3188C9"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Bezpieczne i dostosowane do wymogów dostawy wody pitnej oraz procesy oczyszczania ścieków;</w:t>
      </w:r>
    </w:p>
    <w:p w14:paraId="2059825B"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Ochrona i wzmacnianie różnorodności biologicznej;</w:t>
      </w:r>
    </w:p>
    <w:p w14:paraId="18C1B97B" w14:textId="77777777" w:rsidR="000C0538" w:rsidRPr="007E08F7" w:rsidRDefault="000C0538">
      <w:pPr>
        <w:numPr>
          <w:ilvl w:val="0"/>
          <w:numId w:val="22"/>
        </w:numPr>
        <w:spacing w:before="120" w:after="120" w:line="288" w:lineRule="auto"/>
        <w:ind w:left="426" w:hanging="426"/>
        <w:rPr>
          <w:rFonts w:eastAsia="Aptos"/>
        </w:rPr>
      </w:pPr>
      <w:r w:rsidRPr="007E08F7">
        <w:rPr>
          <w:rFonts w:eastAsia="Aptos"/>
        </w:rPr>
        <w:t>Wzmocnienie kapitału społecznego, w szczególności poprzez działalność kulturalną i społeczną;</w:t>
      </w:r>
    </w:p>
    <w:p w14:paraId="7E50705F" w14:textId="7F99CDD2" w:rsidR="001A619C" w:rsidRPr="007E08F7" w:rsidRDefault="000C0538">
      <w:pPr>
        <w:numPr>
          <w:ilvl w:val="0"/>
          <w:numId w:val="22"/>
        </w:numPr>
        <w:spacing w:before="120" w:after="120" w:line="288" w:lineRule="auto"/>
        <w:ind w:left="426" w:hanging="426"/>
        <w:rPr>
          <w:rFonts w:eastAsia="Aptos"/>
        </w:rPr>
      </w:pPr>
      <w:r w:rsidRPr="007E08F7">
        <w:rPr>
          <w:rFonts w:eastAsia="Aptos"/>
        </w:rPr>
        <w:t>Wzmocnienie potencjału organizacji pozarządowych jako podmiotów świadczących szeroką paletę usług dla mieszkańców</w:t>
      </w:r>
      <w:r w:rsidR="001A619C" w:rsidRPr="007E08F7">
        <w:rPr>
          <w:rFonts w:eastAsia="Aptos"/>
        </w:rPr>
        <w:t>.</w:t>
      </w:r>
    </w:p>
    <w:p w14:paraId="6EF3F0FB" w14:textId="77777777" w:rsidR="001A619C" w:rsidRPr="007E08F7" w:rsidRDefault="001A619C" w:rsidP="001A619C">
      <w:pPr>
        <w:rPr>
          <w:rFonts w:eastAsia="Aptos"/>
        </w:rPr>
      </w:pPr>
      <w:r w:rsidRPr="007E08F7">
        <w:rPr>
          <w:rFonts w:eastAsia="Aptos"/>
        </w:rPr>
        <w:br w:type="page"/>
      </w:r>
    </w:p>
    <w:p w14:paraId="1F70D2C8" w14:textId="77777777" w:rsidR="001A619C" w:rsidRPr="007E08F7" w:rsidRDefault="001A619C" w:rsidP="002F715A">
      <w:pPr>
        <w:pStyle w:val="Nagwek3"/>
      </w:pPr>
      <w:bookmarkStart w:id="57" w:name="_Toc239772084"/>
      <w:r w:rsidRPr="007E08F7">
        <w:lastRenderedPageBreak/>
        <w:t>Cel operacyjny 2.1. Gotowość cywilna</w:t>
      </w:r>
      <w:bookmarkEnd w:id="57"/>
    </w:p>
    <w:p w14:paraId="46531766" w14:textId="3EC3EA74" w:rsidR="001A619C" w:rsidRPr="007E08F7" w:rsidRDefault="001A619C" w:rsidP="009E6497">
      <w:pPr>
        <w:pStyle w:val="Nagwek4"/>
        <w:rPr>
          <w:iCs w:val="0"/>
        </w:rPr>
      </w:pPr>
      <w:r w:rsidRPr="007E08F7">
        <w:rPr>
          <w:iCs w:val="0"/>
        </w:rPr>
        <w:t>Przesłanki realizacji Celu operacyjnego</w:t>
      </w:r>
      <w:r w:rsidR="00EF7D8D" w:rsidRPr="007E08F7">
        <w:rPr>
          <w:iCs w:val="0"/>
        </w:rPr>
        <w:t xml:space="preserve"> 2.1</w:t>
      </w:r>
    </w:p>
    <w:p w14:paraId="69378967" w14:textId="464074F7" w:rsidR="000C0538" w:rsidRPr="007E08F7" w:rsidRDefault="000C0538" w:rsidP="000C0538">
      <w:pPr>
        <w:spacing w:before="120" w:after="120" w:line="288" w:lineRule="auto"/>
      </w:pPr>
      <w:r w:rsidRPr="007E08F7">
        <w:t>Diagnoza gotowości cywilnej w świetle zidentyfikowanych specyficznych dla województwa pomorskiego zagrożeń wskazuje na trzy główne obszary deficytowe wymagające działań naprawczych.</w:t>
      </w:r>
    </w:p>
    <w:p w14:paraId="129F1D8C" w14:textId="77777777" w:rsidR="000C0538" w:rsidRPr="007E08F7" w:rsidRDefault="000C0538" w:rsidP="000C0538">
      <w:pPr>
        <w:spacing w:before="120" w:after="120" w:line="288" w:lineRule="auto"/>
      </w:pPr>
      <w:r w:rsidRPr="007E08F7">
        <w:t xml:space="preserve">Znaczna część Pomorzan nie posiada wystarczającej wiedzy w zakresie ochrony i obrony cywilnej, która jest kluczowa w przypadku wystąpienia ekstremalnego zjawiska pogodowego, ataku hybrydowego, skażenia terenu czy ewentualnego konfliktu zbrojnego. Podniesienie kompetencji mieszkańców w tym obszarze jest nieodzowne i pozwoli na lepsze przygotowanie ludzi do właściwego reagowania i postępowania w momencie wystąpienia sytuacji kryzysowej oraz do przetrwania do czasu dotarcia profesjonalnych służb ratunkowych lub wojskowych. </w:t>
      </w:r>
    </w:p>
    <w:p w14:paraId="7D3D3143" w14:textId="07461311" w:rsidR="000C0538" w:rsidRPr="007E08F7" w:rsidRDefault="000C0538" w:rsidP="000C0538">
      <w:pPr>
        <w:spacing w:before="120" w:after="120" w:line="288" w:lineRule="auto"/>
      </w:pPr>
      <w:r w:rsidRPr="007E08F7">
        <w:t>Ponadto, konieczne jest wzmocnienie kompetencyjne administracji i służb publicznych, w szczególności w zakresie ochrony i obrony cywilnej, w tym komunikowania się z</w:t>
      </w:r>
      <w:r w:rsidR="0076110A" w:rsidRPr="007E08F7">
        <w:t> </w:t>
      </w:r>
      <w:r w:rsidRPr="007E08F7">
        <w:t>mieszkańcami w sytuacjach kryzysowych. Bardzo ważne jest zapewnienie ciągłości świadczenia podstawowych usług publicznych w warunkach wystąpienia: katastrofalnych zjawisk naturalnych, braku dostaw energii elektrycznej na znacznym obszarze, ataków hybrydowych czy ewentualnych konfliktów zbrojnych. W tych aspektach znacznego wsparcia wymaga również wzmocnienie odporności i zabezpieczenie infrastruktury publicznej niezbędnej do funkcjonowania regionu w sytuacjach kryzysowych.</w:t>
      </w:r>
    </w:p>
    <w:p w14:paraId="2F97DA64" w14:textId="77777777" w:rsidR="000C0538" w:rsidRPr="007E08F7" w:rsidRDefault="000C0538" w:rsidP="000C0538">
      <w:pPr>
        <w:spacing w:before="120" w:after="120" w:line="288" w:lineRule="auto"/>
      </w:pPr>
      <w:r w:rsidRPr="007E08F7">
        <w:t>W świetle zidentyfikowanych zagrożeń militarnych istotne jest natomiast zwiększenie liczby schronów oraz miejsc schronienia gotowych do szybkiego przyjęcia ludzi w momencie zaistnienia konfliktu.</w:t>
      </w:r>
    </w:p>
    <w:p w14:paraId="6FA1FC53" w14:textId="1304FE18" w:rsidR="000C0538" w:rsidRPr="007E08F7" w:rsidRDefault="000C0538" w:rsidP="009E6497">
      <w:pPr>
        <w:pStyle w:val="Nagwek4"/>
        <w:rPr>
          <w:iCs w:val="0"/>
        </w:rPr>
      </w:pPr>
      <w:r w:rsidRPr="007E08F7">
        <w:rPr>
          <w:iCs w:val="0"/>
        </w:rPr>
        <w:t xml:space="preserve">Ukierunkowanie tematyczne </w:t>
      </w:r>
      <w:r w:rsidR="00EF7D8D" w:rsidRPr="007E08F7">
        <w:rPr>
          <w:iCs w:val="0"/>
        </w:rPr>
        <w:t xml:space="preserve">CO 2.1 </w:t>
      </w:r>
      <w:r w:rsidR="00EF7D8D" w:rsidRPr="007E08F7">
        <w:rPr>
          <w:iCs w:val="0"/>
        </w:rPr>
        <w:br/>
      </w:r>
      <w:r w:rsidRPr="007E08F7">
        <w:rPr>
          <w:iCs w:val="0"/>
        </w:rPr>
        <w:t>(kluczowe kierunki interwencji i działania)</w:t>
      </w:r>
    </w:p>
    <w:p w14:paraId="3459FFBA" w14:textId="77777777" w:rsidR="000C0538" w:rsidRPr="007E08F7" w:rsidRDefault="000C0538" w:rsidP="000C0538">
      <w:pPr>
        <w:spacing w:before="120" w:after="120" w:line="288" w:lineRule="auto"/>
      </w:pPr>
      <w:r w:rsidRPr="007E08F7">
        <w:rPr>
          <w:b/>
          <w:bCs/>
        </w:rPr>
        <w:t>2.1.1</w:t>
      </w:r>
      <w:r w:rsidRPr="007E08F7">
        <w:rPr>
          <w:b/>
          <w:bCs/>
        </w:rPr>
        <w:br/>
      </w:r>
      <w:r w:rsidRPr="007E08F7">
        <w:t>Edukacja dla bezpieczeństwa.</w:t>
      </w:r>
    </w:p>
    <w:p w14:paraId="7BB45AE8" w14:textId="77777777" w:rsidR="000C0538" w:rsidRPr="007E08F7" w:rsidRDefault="000C0538" w:rsidP="000C0538">
      <w:pPr>
        <w:spacing w:before="120" w:after="120" w:line="288" w:lineRule="auto"/>
      </w:pPr>
      <w:r w:rsidRPr="007E08F7">
        <w:rPr>
          <w:b/>
          <w:bCs/>
        </w:rPr>
        <w:t>2.1.2</w:t>
      </w:r>
      <w:r w:rsidRPr="007E08F7">
        <w:rPr>
          <w:b/>
          <w:bCs/>
        </w:rPr>
        <w:br/>
      </w:r>
      <w:r w:rsidRPr="007E08F7">
        <w:t>Wzmocnienie przygotowania administracji i służb publicznych do działania w sytuacjach kryzysowych oraz zabezpieczenie niezbędnej infrastruktury publicznej.</w:t>
      </w:r>
    </w:p>
    <w:p w14:paraId="51107C67" w14:textId="77777777" w:rsidR="000C0538" w:rsidRPr="007E08F7" w:rsidRDefault="000C0538" w:rsidP="000C0538">
      <w:pPr>
        <w:spacing w:before="120" w:after="120" w:line="288" w:lineRule="auto"/>
      </w:pPr>
      <w:r w:rsidRPr="007E08F7">
        <w:rPr>
          <w:b/>
          <w:bCs/>
        </w:rPr>
        <w:t>2.1.3</w:t>
      </w:r>
      <w:r w:rsidRPr="007E08F7">
        <w:rPr>
          <w:b/>
          <w:bCs/>
        </w:rPr>
        <w:br/>
      </w:r>
      <w:r w:rsidRPr="007E08F7">
        <w:t>Rozbudowa zasobów dla schronienia i ewakuacji ludzi.</w:t>
      </w:r>
    </w:p>
    <w:p w14:paraId="00815AA8" w14:textId="7F934D79" w:rsidR="000C0538" w:rsidRPr="007E08F7" w:rsidRDefault="000C0538" w:rsidP="009E6497">
      <w:pPr>
        <w:pStyle w:val="Nagwek4"/>
        <w:rPr>
          <w:iCs w:val="0"/>
        </w:rPr>
      </w:pPr>
      <w:r w:rsidRPr="007E08F7">
        <w:rPr>
          <w:iCs w:val="0"/>
        </w:rPr>
        <w:t>Ukierunkowanie terytorialne</w:t>
      </w:r>
      <w:r w:rsidR="00EF7D8D" w:rsidRPr="007E08F7">
        <w:rPr>
          <w:iCs w:val="0"/>
        </w:rPr>
        <w:t xml:space="preserve"> CO 2.1</w:t>
      </w:r>
    </w:p>
    <w:p w14:paraId="5ED351E9" w14:textId="6BFA3228" w:rsidR="002F715A" w:rsidRPr="007E08F7" w:rsidRDefault="000C0538" w:rsidP="002F715A">
      <w:pPr>
        <w:spacing w:before="120" w:after="120" w:line="288" w:lineRule="auto"/>
        <w:rPr>
          <w:rFonts w:cstheme="minorHAnsi"/>
        </w:rPr>
      </w:pPr>
      <w:r w:rsidRPr="007E08F7">
        <w:rPr>
          <w:rFonts w:cstheme="minorHAnsi"/>
        </w:rPr>
        <w:t>Całe województwo</w:t>
      </w:r>
      <w:r w:rsidR="002F715A" w:rsidRPr="007E08F7">
        <w:rPr>
          <w:rFonts w:cstheme="minorHAnsi"/>
        </w:rPr>
        <w:br w:type="page"/>
      </w:r>
    </w:p>
    <w:p w14:paraId="2E2C101B" w14:textId="72C09C1F" w:rsidR="000C0538" w:rsidRPr="007E08F7" w:rsidRDefault="000C0538" w:rsidP="009E6497">
      <w:pPr>
        <w:pStyle w:val="Nagwek4"/>
        <w:rPr>
          <w:iCs w:val="0"/>
        </w:rPr>
      </w:pPr>
      <w:r w:rsidRPr="007E08F7">
        <w:rPr>
          <w:iCs w:val="0"/>
        </w:rPr>
        <w:lastRenderedPageBreak/>
        <w:t>Oczekiwane rezultaty</w:t>
      </w:r>
      <w:r w:rsidR="00EF7D8D" w:rsidRPr="007E08F7">
        <w:rPr>
          <w:iCs w:val="0"/>
        </w:rPr>
        <w:t xml:space="preserve"> CO 2.1</w:t>
      </w:r>
    </w:p>
    <w:p w14:paraId="6B72961A" w14:textId="77777777" w:rsidR="000C0538" w:rsidRPr="007E08F7" w:rsidRDefault="000C0538">
      <w:pPr>
        <w:numPr>
          <w:ilvl w:val="0"/>
          <w:numId w:val="34"/>
        </w:numPr>
        <w:spacing w:before="120" w:after="120" w:line="288" w:lineRule="auto"/>
        <w:rPr>
          <w:rFonts w:cstheme="minorHAnsi"/>
        </w:rPr>
      </w:pPr>
      <w:r w:rsidRPr="007E08F7">
        <w:rPr>
          <w:rFonts w:cstheme="minorHAnsi"/>
        </w:rPr>
        <w:t>Poprawa kompetencji i wiedzy mieszkańców na wypadek wystąpienia sytuacji kryzysowych.</w:t>
      </w:r>
    </w:p>
    <w:p w14:paraId="25F5496D" w14:textId="77777777" w:rsidR="000C0538" w:rsidRPr="007E08F7" w:rsidRDefault="000C0538">
      <w:pPr>
        <w:numPr>
          <w:ilvl w:val="0"/>
          <w:numId w:val="34"/>
        </w:numPr>
        <w:spacing w:before="120" w:after="120" w:line="288" w:lineRule="auto"/>
        <w:rPr>
          <w:rFonts w:cstheme="minorHAnsi"/>
        </w:rPr>
      </w:pPr>
      <w:r w:rsidRPr="007E08F7">
        <w:rPr>
          <w:rFonts w:cstheme="minorHAnsi"/>
        </w:rPr>
        <w:t>Lepsze przygotowanie służb publicznych i infrastruktury do działań w sytuacjach kryzysowych.</w:t>
      </w:r>
    </w:p>
    <w:p w14:paraId="4E0E9651" w14:textId="77777777" w:rsidR="000C0538" w:rsidRPr="007E08F7" w:rsidRDefault="000C0538">
      <w:pPr>
        <w:numPr>
          <w:ilvl w:val="0"/>
          <w:numId w:val="34"/>
        </w:numPr>
        <w:spacing w:before="120" w:after="120" w:line="288" w:lineRule="auto"/>
        <w:rPr>
          <w:rFonts w:cstheme="minorHAnsi"/>
        </w:rPr>
      </w:pPr>
      <w:r w:rsidRPr="007E08F7">
        <w:rPr>
          <w:rFonts w:cstheme="minorHAnsi"/>
        </w:rPr>
        <w:t>Zwiększenie liczby miejsc schronienia ludności.</w:t>
      </w:r>
    </w:p>
    <w:p w14:paraId="60B1DE9C" w14:textId="4043AA5A" w:rsidR="000C0538" w:rsidRPr="007E08F7" w:rsidRDefault="000C0538" w:rsidP="009F21B4">
      <w:pPr>
        <w:pStyle w:val="Nagwek4"/>
        <w:spacing w:before="360"/>
        <w:rPr>
          <w:iCs w:val="0"/>
        </w:rPr>
      </w:pPr>
      <w:r w:rsidRPr="007E08F7">
        <w:rPr>
          <w:iCs w:val="0"/>
        </w:rPr>
        <w:t>Wskaźniki</w:t>
      </w:r>
      <w:r w:rsidR="00EF7D8D" w:rsidRPr="007E08F7">
        <w:rPr>
          <w:iCs w:val="0"/>
        </w:rPr>
        <w:t xml:space="preserve"> CO 2.1</w:t>
      </w:r>
    </w:p>
    <w:tbl>
      <w:tblPr>
        <w:tblStyle w:val="Tabela-Siatka6"/>
        <w:tblW w:w="0" w:type="auto"/>
        <w:tblInd w:w="-5" w:type="dxa"/>
        <w:tblLook w:val="01E0" w:firstRow="1" w:lastRow="1" w:firstColumn="1" w:lastColumn="1" w:noHBand="0" w:noVBand="0"/>
      </w:tblPr>
      <w:tblGrid>
        <w:gridCol w:w="4253"/>
        <w:gridCol w:w="1843"/>
        <w:gridCol w:w="1842"/>
        <w:gridCol w:w="1129"/>
      </w:tblGrid>
      <w:tr w:rsidR="00C911DD" w:rsidRPr="007E08F7" w14:paraId="25C31207" w14:textId="77777777" w:rsidTr="009F21B4">
        <w:trPr>
          <w:tblHeader/>
        </w:trPr>
        <w:tc>
          <w:tcPr>
            <w:tcW w:w="4253" w:type="dxa"/>
            <w:tcBorders>
              <w:right w:val="single" w:sz="4" w:space="0" w:color="FFFFFF" w:themeColor="background1"/>
            </w:tcBorders>
            <w:shd w:val="clear" w:color="auto" w:fill="153D63" w:themeFill="text2" w:themeFillTint="E6"/>
            <w:vAlign w:val="center"/>
          </w:tcPr>
          <w:p w14:paraId="40292C70"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1843" w:type="dxa"/>
            <w:tcBorders>
              <w:left w:val="single" w:sz="4" w:space="0" w:color="FFFFFF" w:themeColor="background1"/>
              <w:right w:val="single" w:sz="4" w:space="0" w:color="FFFFFF" w:themeColor="background1"/>
            </w:tcBorders>
            <w:shd w:val="clear" w:color="auto" w:fill="153D63" w:themeFill="text2" w:themeFillTint="E6"/>
            <w:vAlign w:val="center"/>
          </w:tcPr>
          <w:p w14:paraId="069AAC78" w14:textId="4A2C12DD"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bazowa</w:t>
            </w:r>
          </w:p>
        </w:tc>
        <w:tc>
          <w:tcPr>
            <w:tcW w:w="1842" w:type="dxa"/>
            <w:tcBorders>
              <w:left w:val="single" w:sz="4" w:space="0" w:color="FFFFFF" w:themeColor="background1"/>
              <w:right w:val="single" w:sz="4" w:space="0" w:color="FFFFFF" w:themeColor="background1"/>
            </w:tcBorders>
            <w:shd w:val="clear" w:color="auto" w:fill="153D63" w:themeFill="text2" w:themeFillTint="E6"/>
            <w:vAlign w:val="center"/>
          </w:tcPr>
          <w:p w14:paraId="76D71AA8"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1129" w:type="dxa"/>
            <w:tcBorders>
              <w:left w:val="single" w:sz="4" w:space="0" w:color="FFFFFF" w:themeColor="background1"/>
            </w:tcBorders>
            <w:shd w:val="clear" w:color="auto" w:fill="153D63" w:themeFill="text2" w:themeFillTint="E6"/>
            <w:vAlign w:val="center"/>
          </w:tcPr>
          <w:p w14:paraId="35269F89"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C911DD" w:rsidRPr="007E08F7" w14:paraId="7CDE98A0" w14:textId="77777777" w:rsidTr="003B6915">
        <w:trPr>
          <w:trHeight w:val="350"/>
        </w:trPr>
        <w:tc>
          <w:tcPr>
            <w:tcW w:w="4253" w:type="dxa"/>
            <w:vAlign w:val="center"/>
          </w:tcPr>
          <w:p w14:paraId="4797666B" w14:textId="433AB967" w:rsidR="00C911DD" w:rsidRPr="007E08F7" w:rsidRDefault="00C911DD" w:rsidP="003B6915">
            <w:pPr>
              <w:spacing w:after="120" w:line="276" w:lineRule="auto"/>
              <w:rPr>
                <w:rFonts w:eastAsia="Aptos" w:cs="Calibri"/>
                <w:bCs/>
                <w:kern w:val="2"/>
                <w14:ligatures w14:val="standardContextual"/>
              </w:rPr>
            </w:pPr>
            <w:r w:rsidRPr="007E08F7">
              <w:rPr>
                <w:rFonts w:eastAsia="Aptos" w:cs="Calibri"/>
                <w:kern w:val="2"/>
                <w14:ligatures w14:val="standardContextual"/>
              </w:rPr>
              <w:t>Odsetek pracowników administracji</w:t>
            </w:r>
            <w:r w:rsidR="003B6915" w:rsidRPr="007E08F7">
              <w:rPr>
                <w:rFonts w:eastAsia="Aptos" w:cs="Calibri"/>
                <w:kern w:val="2"/>
                <w14:ligatures w14:val="standardContextual"/>
              </w:rPr>
              <w:t> </w:t>
            </w:r>
            <w:r w:rsidRPr="007E08F7">
              <w:rPr>
                <w:rFonts w:eastAsia="Aptos" w:cs="Calibri"/>
                <w:kern w:val="2"/>
                <w14:ligatures w14:val="standardContextual"/>
              </w:rPr>
              <w:t>publicznej oraz mieszkańców województwa objętych szkoleniami z</w:t>
            </w:r>
            <w:r w:rsidR="003B6915" w:rsidRPr="007E08F7">
              <w:rPr>
                <w:rFonts w:eastAsia="Aptos" w:cs="Calibri"/>
                <w:kern w:val="2"/>
                <w14:ligatures w14:val="standardContextual"/>
              </w:rPr>
              <w:t> </w:t>
            </w:r>
            <w:r w:rsidRPr="007E08F7">
              <w:rPr>
                <w:rFonts w:eastAsia="Aptos" w:cs="Calibri"/>
                <w:kern w:val="2"/>
                <w14:ligatures w14:val="standardContextual"/>
              </w:rPr>
              <w:t>zakresu ochrony ludności, obrony cywilnej i zarządzania kryzysowego</w:t>
            </w:r>
          </w:p>
        </w:tc>
        <w:tc>
          <w:tcPr>
            <w:tcW w:w="1843" w:type="dxa"/>
            <w:vAlign w:val="center"/>
          </w:tcPr>
          <w:p w14:paraId="1640E27A" w14:textId="77777777" w:rsidR="00C911DD" w:rsidRPr="007E08F7" w:rsidRDefault="00C911DD" w:rsidP="003B6915">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1842" w:type="dxa"/>
            <w:vAlign w:val="center"/>
          </w:tcPr>
          <w:p w14:paraId="523D205C" w14:textId="77777777" w:rsidR="00C911DD" w:rsidRPr="007E08F7" w:rsidRDefault="00C911DD" w:rsidP="003B6915">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1129" w:type="dxa"/>
            <w:vAlign w:val="center"/>
          </w:tcPr>
          <w:p w14:paraId="0E0F528D" w14:textId="77777777" w:rsidR="00C911DD" w:rsidRPr="007E08F7" w:rsidRDefault="00C911DD" w:rsidP="003B6915">
            <w:pPr>
              <w:spacing w:after="120" w:line="276" w:lineRule="auto"/>
              <w:rPr>
                <w:rFonts w:eastAsia="Aptos" w:cs="Calibri"/>
                <w:kern w:val="2"/>
                <w14:ligatures w14:val="standardContextual"/>
              </w:rPr>
            </w:pPr>
            <w:r w:rsidRPr="007E08F7">
              <w:rPr>
                <w:rFonts w:eastAsia="Aptos" w:cs="Calibri"/>
                <w:kern w:val="2"/>
                <w14:ligatures w14:val="standardContextual"/>
              </w:rPr>
              <w:t>KPRM</w:t>
            </w:r>
          </w:p>
        </w:tc>
      </w:tr>
      <w:tr w:rsidR="00C911DD" w:rsidRPr="007E08F7" w14:paraId="630DF1CC" w14:textId="77777777" w:rsidTr="003B6915">
        <w:trPr>
          <w:trHeight w:val="271"/>
        </w:trPr>
        <w:tc>
          <w:tcPr>
            <w:tcW w:w="4253" w:type="dxa"/>
            <w:vAlign w:val="center"/>
          </w:tcPr>
          <w:p w14:paraId="0292352E" w14:textId="77777777" w:rsidR="00C911DD" w:rsidRPr="007E08F7" w:rsidRDefault="00C911DD" w:rsidP="003B6915">
            <w:pPr>
              <w:spacing w:after="120" w:line="276" w:lineRule="auto"/>
              <w:rPr>
                <w:rFonts w:eastAsia="Aptos" w:cs="Calibri"/>
                <w:kern w:val="2"/>
                <w14:ligatures w14:val="standardContextual"/>
              </w:rPr>
            </w:pPr>
            <w:r w:rsidRPr="007E08F7">
              <w:rPr>
                <w:rFonts w:eastAsia="Aptos" w:cs="Calibri"/>
                <w:bCs/>
                <w:kern w:val="2"/>
                <w14:ligatures w14:val="standardContextual"/>
              </w:rPr>
              <w:t>Wskaźnik pojemności punktów schronienia w stosunku do populacji województwa pomorskiego</w:t>
            </w:r>
          </w:p>
        </w:tc>
        <w:tc>
          <w:tcPr>
            <w:tcW w:w="1843" w:type="dxa"/>
            <w:vAlign w:val="center"/>
          </w:tcPr>
          <w:p w14:paraId="3E0ECD59" w14:textId="00E772CF" w:rsidR="00C911DD" w:rsidRPr="007E08F7" w:rsidRDefault="00C911DD" w:rsidP="003B6915">
            <w:pPr>
              <w:spacing w:after="120" w:line="276" w:lineRule="auto"/>
              <w:rPr>
                <w:rFonts w:eastAsia="Aptos" w:cs="Calibri"/>
                <w:kern w:val="2"/>
                <w14:ligatures w14:val="standardContextual"/>
              </w:rPr>
            </w:pPr>
            <w:r w:rsidRPr="007E08F7">
              <w:rPr>
                <w:rFonts w:eastAsia="Aptos" w:cs="Calibri"/>
                <w:kern w:val="2"/>
                <w14:ligatures w14:val="standardContextual"/>
              </w:rPr>
              <w:t>55,9% (marzec</w:t>
            </w:r>
            <w:r w:rsidR="009F21B4" w:rsidRPr="007E08F7">
              <w:rPr>
                <w:rFonts w:eastAsia="Aptos" w:cs="Calibri"/>
                <w:kern w:val="2"/>
                <w14:ligatures w14:val="standardContextual"/>
              </w:rPr>
              <w:t> </w:t>
            </w:r>
            <w:r w:rsidRPr="007E08F7">
              <w:rPr>
                <w:rFonts w:eastAsia="Aptos" w:cs="Calibri"/>
                <w:kern w:val="2"/>
                <w14:ligatures w14:val="standardContextual"/>
              </w:rPr>
              <w:t>2026)</w:t>
            </w:r>
          </w:p>
        </w:tc>
        <w:tc>
          <w:tcPr>
            <w:tcW w:w="1842" w:type="dxa"/>
            <w:vAlign w:val="center"/>
          </w:tcPr>
          <w:p w14:paraId="58E8AC8B" w14:textId="77777777" w:rsidR="00C911DD" w:rsidRPr="007E08F7" w:rsidRDefault="00C911DD" w:rsidP="003B6915">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1129" w:type="dxa"/>
            <w:vAlign w:val="center"/>
          </w:tcPr>
          <w:p w14:paraId="71303FD6" w14:textId="77777777" w:rsidR="00C911DD" w:rsidRPr="007E08F7" w:rsidRDefault="00C911DD" w:rsidP="003B6915">
            <w:pPr>
              <w:spacing w:after="120" w:line="276" w:lineRule="auto"/>
              <w:rPr>
                <w:rFonts w:eastAsia="Aptos" w:cs="Calibri"/>
                <w:kern w:val="2"/>
                <w14:ligatures w14:val="standardContextual"/>
              </w:rPr>
            </w:pPr>
            <w:r w:rsidRPr="007E08F7">
              <w:rPr>
                <w:rFonts w:eastAsia="Aptos" w:cs="Calibri"/>
                <w:kern w:val="2"/>
                <w14:ligatures w14:val="standardContextual"/>
              </w:rPr>
              <w:t>KGPSP</w:t>
            </w:r>
          </w:p>
        </w:tc>
      </w:tr>
    </w:tbl>
    <w:p w14:paraId="6A961A21" w14:textId="1DCB1DEA" w:rsidR="000C0538" w:rsidRPr="007E08F7" w:rsidRDefault="000C0538" w:rsidP="009F21B4">
      <w:pPr>
        <w:pStyle w:val="Nagwek4"/>
        <w:spacing w:before="360"/>
        <w:rPr>
          <w:rFonts w:eastAsia="Calibri"/>
          <w:iCs w:val="0"/>
        </w:rPr>
      </w:pPr>
      <w:r w:rsidRPr="007E08F7">
        <w:rPr>
          <w:rFonts w:eastAsia="Calibri"/>
          <w:iCs w:val="0"/>
        </w:rPr>
        <w:t>Postulaty wobec władz centralnych</w:t>
      </w:r>
      <w:r w:rsidR="00EF7D8D" w:rsidRPr="007E08F7">
        <w:rPr>
          <w:iCs w:val="0"/>
        </w:rPr>
        <w:t xml:space="preserve"> CO 2.1</w:t>
      </w:r>
    </w:p>
    <w:p w14:paraId="649C6FEB" w14:textId="0EFF79A1" w:rsidR="001A619C" w:rsidRPr="007E08F7" w:rsidRDefault="000C0538">
      <w:pPr>
        <w:numPr>
          <w:ilvl w:val="0"/>
          <w:numId w:val="51"/>
        </w:numPr>
        <w:spacing w:before="120" w:after="120" w:line="288" w:lineRule="auto"/>
        <w:rPr>
          <w:rFonts w:cstheme="minorHAnsi"/>
        </w:rPr>
      </w:pPr>
      <w:r w:rsidRPr="007E08F7">
        <w:rPr>
          <w:rFonts w:eastAsia="Aptos" w:cs="Aptos"/>
        </w:rPr>
        <w:t>Określenie zakresu działań na rzecz rozwoju kompetencji mieszkańców oraz administracji publicznej w obszarze gotowości cywilnej podejmowanych z poziomu centralnego oraz przez wojewodę</w:t>
      </w:r>
      <w:r w:rsidR="001A619C" w:rsidRPr="007E08F7">
        <w:rPr>
          <w:rFonts w:eastAsia="Aptos" w:cs="Aptos"/>
        </w:rPr>
        <w:t>.</w:t>
      </w:r>
    </w:p>
    <w:p w14:paraId="607E76A5" w14:textId="77777777" w:rsidR="001A619C" w:rsidRPr="007E08F7" w:rsidRDefault="001A619C" w:rsidP="001A619C">
      <w:r w:rsidRPr="007E08F7">
        <w:br w:type="page"/>
      </w:r>
    </w:p>
    <w:p w14:paraId="6E9A747A" w14:textId="77777777" w:rsidR="001A619C" w:rsidRPr="007E08F7" w:rsidRDefault="001A619C" w:rsidP="002F715A">
      <w:pPr>
        <w:pStyle w:val="Nagwek3"/>
      </w:pPr>
      <w:bookmarkStart w:id="58" w:name="_Toc239772085"/>
      <w:r w:rsidRPr="007E08F7">
        <w:lastRenderedPageBreak/>
        <w:t xml:space="preserve">Cel operacyjny 2.2. </w:t>
      </w:r>
      <w:proofErr w:type="spellStart"/>
      <w:r w:rsidRPr="007E08F7">
        <w:t>Cyberbezpieczeństwo</w:t>
      </w:r>
      <w:bookmarkEnd w:id="58"/>
      <w:proofErr w:type="spellEnd"/>
    </w:p>
    <w:p w14:paraId="367352AC" w14:textId="30C20EEA" w:rsidR="001A619C" w:rsidRPr="007E08F7" w:rsidRDefault="001A619C" w:rsidP="00B32464">
      <w:pPr>
        <w:pStyle w:val="Nagwek4"/>
        <w:rPr>
          <w:iCs w:val="0"/>
        </w:rPr>
      </w:pPr>
      <w:r w:rsidRPr="007E08F7">
        <w:rPr>
          <w:iCs w:val="0"/>
        </w:rPr>
        <w:t>Przesłanki realizacji Celu operacyjnego</w:t>
      </w:r>
      <w:r w:rsidR="00EF7D8D" w:rsidRPr="007E08F7">
        <w:rPr>
          <w:iCs w:val="0"/>
        </w:rPr>
        <w:t xml:space="preserve"> CO 2.2</w:t>
      </w:r>
    </w:p>
    <w:p w14:paraId="5373828C" w14:textId="77EB9F11" w:rsidR="00CA7301" w:rsidRPr="007E08F7" w:rsidRDefault="00CA7301" w:rsidP="00CA7301">
      <w:pPr>
        <w:spacing w:before="120" w:after="120" w:line="288" w:lineRule="auto"/>
      </w:pPr>
      <w:r w:rsidRPr="007E08F7">
        <w:t xml:space="preserve">Cyfryzacja usług publicznych i życia codziennego przynosi znaczne ułatwienia, ale niesie ze sobą poważne wyzwania. </w:t>
      </w:r>
    </w:p>
    <w:p w14:paraId="1164045D" w14:textId="77777777" w:rsidR="00CA7301" w:rsidRPr="007E08F7" w:rsidRDefault="00CA7301" w:rsidP="00CA7301">
      <w:pPr>
        <w:spacing w:before="120" w:after="120" w:line="288" w:lineRule="auto"/>
      </w:pPr>
      <w:r w:rsidRPr="007E08F7">
        <w:t>Odporność systemów informacyjnych w coraz większym stopniu wpływa na bezpieczeństwo ludności, chroniąc dostęp do kluczowych usług, infrastrukturę krytyczną oraz prywatność obywateli. Ataki cybernetyczne mogą prowadzić do strat finansowych, paraliżu państwa i utraty zaufania, co bezpośrednio zagraża stabilności i dobrobytowi społeczeństwa. Coraz istotniejszym zagrożeniem jest również agresja w sieci (hejt) oraz rosnąca skala dezinformacji, w szczególności ukierunkowane na dzieci, młodzież i seniorów.</w:t>
      </w:r>
    </w:p>
    <w:p w14:paraId="45080C8C" w14:textId="77777777" w:rsidR="00CA7301" w:rsidRPr="007E08F7" w:rsidRDefault="00CA7301" w:rsidP="00CA7301">
      <w:pPr>
        <w:spacing w:before="120" w:after="120" w:line="288" w:lineRule="auto"/>
      </w:pPr>
      <w:r w:rsidRPr="007E08F7">
        <w:t>W obszarze świadomości cyfrowej widoczny jest brak kompetencji cyfrowych mieszkańców, w tym umiejętności rozpoznawania dezinformacji i ochrony przed cyberprzemocą. Interwencja w tym obszarze będzie odpowiadała na negatywne aspekty coraz istotniejszej roli cyfryzacji w codziennym życiu Pomorzan poprzez działania edukacyjne, świadomościowe, jak również kampanie edukacyjne i społeczne ukierunkowane na przeciwdziałanie mowie nienawiści, hejtowi oraz agresji w przestrzeni internetowej.</w:t>
      </w:r>
    </w:p>
    <w:p w14:paraId="60D62981" w14:textId="1C73D15E" w:rsidR="00CA7301" w:rsidRPr="007E08F7" w:rsidRDefault="00CA7301" w:rsidP="00CA7301">
      <w:pPr>
        <w:spacing w:before="120" w:after="120" w:line="288" w:lineRule="auto"/>
      </w:pPr>
      <w:r w:rsidRPr="007E08F7">
        <w:t xml:space="preserve">W zakresie bezpieczeństwa administracji przewiduje się wzmacnianie odporności cyfrowej i </w:t>
      </w:r>
      <w:proofErr w:type="spellStart"/>
      <w:r w:rsidRPr="007E08F7">
        <w:t>cyberbezpieczeństwa</w:t>
      </w:r>
      <w:proofErr w:type="spellEnd"/>
      <w:r w:rsidRPr="007E08F7">
        <w:t xml:space="preserve"> jednostek sektora publicznego na terenie województwa pomorskiego. W świetle gwałtownie rosnącego zagrożenia cyberatakami strategiczny charakter interwencji uzasadniają długoterminowe korzyści</w:t>
      </w:r>
      <w:r w:rsidR="00A56875" w:rsidRPr="007E08F7">
        <w:t>,</w:t>
      </w:r>
      <w:r w:rsidRPr="007E08F7">
        <w:t xml:space="preserve"> takie jak: zmniejszenie ryzyka naruszeń danych, ochrona reputacji, zwiększenie bezpieczeństwa oraz zaufania mieszkańców do instytucji publicznych. </w:t>
      </w:r>
    </w:p>
    <w:p w14:paraId="1303211E" w14:textId="77777777" w:rsidR="00CA7301" w:rsidRPr="007E08F7" w:rsidRDefault="00CA7301" w:rsidP="00CA7301">
      <w:pPr>
        <w:spacing w:before="120" w:after="120" w:line="288" w:lineRule="auto"/>
      </w:pPr>
      <w:r w:rsidRPr="007E08F7">
        <w:t xml:space="preserve">Zakłada się interwencję ukierunkowaną na zwiększenie poziomu </w:t>
      </w:r>
      <w:proofErr w:type="spellStart"/>
      <w:r w:rsidRPr="007E08F7">
        <w:t>cyberbezpieczeństwa</w:t>
      </w:r>
      <w:proofErr w:type="spellEnd"/>
      <w:r w:rsidRPr="007E08F7">
        <w:t xml:space="preserve"> e-usług i systemów informatycznych poprzez pozyskanie infrastruktury i oprogramowania podnoszącego poziom </w:t>
      </w:r>
      <w:proofErr w:type="spellStart"/>
      <w:r w:rsidRPr="007E08F7">
        <w:t>cyberbezpieczeństwa</w:t>
      </w:r>
      <w:proofErr w:type="spellEnd"/>
      <w:r w:rsidRPr="007E08F7">
        <w:t>, jak również podniesienie kompetencji cyfrowych pracowników jednostek sektora publicznego.</w:t>
      </w:r>
    </w:p>
    <w:p w14:paraId="7A1A3AE9" w14:textId="78EB2146" w:rsidR="00CA7301" w:rsidRPr="007E08F7" w:rsidRDefault="00CA7301" w:rsidP="00257B6D">
      <w:pPr>
        <w:pStyle w:val="Nagwek4"/>
        <w:rPr>
          <w:iCs w:val="0"/>
        </w:rPr>
      </w:pPr>
      <w:r w:rsidRPr="007E08F7">
        <w:rPr>
          <w:iCs w:val="0"/>
        </w:rPr>
        <w:t xml:space="preserve">Ukierunkowanie tematyczne </w:t>
      </w:r>
      <w:r w:rsidR="00EF7D8D" w:rsidRPr="007E08F7">
        <w:rPr>
          <w:iCs w:val="0"/>
        </w:rPr>
        <w:t xml:space="preserve">CO 2.2 </w:t>
      </w:r>
      <w:r w:rsidR="00EF7D8D" w:rsidRPr="007E08F7">
        <w:rPr>
          <w:iCs w:val="0"/>
        </w:rPr>
        <w:br/>
      </w:r>
      <w:r w:rsidRPr="007E08F7">
        <w:rPr>
          <w:iCs w:val="0"/>
        </w:rPr>
        <w:t>(kluczowe kierunki interwencji i działania)</w:t>
      </w:r>
    </w:p>
    <w:p w14:paraId="5B52F3A1" w14:textId="77777777" w:rsidR="00CA7301" w:rsidRPr="007E08F7" w:rsidRDefault="00CA7301" w:rsidP="00CA7301">
      <w:pPr>
        <w:spacing w:before="120" w:after="120" w:line="288" w:lineRule="auto"/>
      </w:pPr>
      <w:r w:rsidRPr="007E08F7">
        <w:rPr>
          <w:b/>
          <w:bCs/>
        </w:rPr>
        <w:t>2.2.1</w:t>
      </w:r>
      <w:r w:rsidRPr="007E08F7">
        <w:t xml:space="preserve"> </w:t>
      </w:r>
      <w:r w:rsidRPr="007E08F7">
        <w:br/>
        <w:t xml:space="preserve">Poprawa </w:t>
      </w:r>
      <w:proofErr w:type="spellStart"/>
      <w:r w:rsidRPr="007E08F7">
        <w:t>cyberbezpieczeństwa</w:t>
      </w:r>
      <w:proofErr w:type="spellEnd"/>
      <w:r w:rsidRPr="007E08F7">
        <w:t xml:space="preserve"> Pomorzan poprzez </w:t>
      </w:r>
      <w:r w:rsidRPr="007E08F7">
        <w:rPr>
          <w:rFonts w:eastAsia="Aptos"/>
        </w:rPr>
        <w:t>podniesienie świadomości cyfrowej.</w:t>
      </w:r>
    </w:p>
    <w:p w14:paraId="1859526A" w14:textId="77777777" w:rsidR="00CA7301" w:rsidRPr="007E08F7" w:rsidRDefault="00CA7301" w:rsidP="00CA7301">
      <w:pPr>
        <w:spacing w:before="120" w:after="120" w:line="288" w:lineRule="auto"/>
      </w:pPr>
      <w:r w:rsidRPr="007E08F7">
        <w:rPr>
          <w:b/>
          <w:bCs/>
        </w:rPr>
        <w:t>2.2.2</w:t>
      </w:r>
      <w:r w:rsidRPr="007E08F7">
        <w:br/>
        <w:t xml:space="preserve">Poprawa </w:t>
      </w:r>
      <w:proofErr w:type="spellStart"/>
      <w:r w:rsidRPr="007E08F7">
        <w:t>cyberbezpieczeństwa</w:t>
      </w:r>
      <w:proofErr w:type="spellEnd"/>
      <w:r w:rsidRPr="007E08F7">
        <w:t xml:space="preserve"> w jednostkach sektora publicznego.</w:t>
      </w:r>
    </w:p>
    <w:p w14:paraId="35BB67B4" w14:textId="14A8BC73" w:rsidR="00CA7301" w:rsidRPr="007E08F7" w:rsidRDefault="00CA7301" w:rsidP="00257B6D">
      <w:pPr>
        <w:pStyle w:val="Nagwek4"/>
        <w:rPr>
          <w:iCs w:val="0"/>
        </w:rPr>
      </w:pPr>
      <w:r w:rsidRPr="007E08F7">
        <w:rPr>
          <w:iCs w:val="0"/>
        </w:rPr>
        <w:lastRenderedPageBreak/>
        <w:t>Ukierunkowanie terytorialne</w:t>
      </w:r>
      <w:r w:rsidR="00EF7D8D" w:rsidRPr="007E08F7">
        <w:rPr>
          <w:iCs w:val="0"/>
        </w:rPr>
        <w:t xml:space="preserve"> CO 2.2</w:t>
      </w:r>
    </w:p>
    <w:p w14:paraId="71862AE5" w14:textId="77777777" w:rsidR="00CA7301" w:rsidRPr="007E08F7" w:rsidRDefault="00CA7301" w:rsidP="00CA7301">
      <w:pPr>
        <w:spacing w:before="120" w:after="120" w:line="288" w:lineRule="auto"/>
        <w:rPr>
          <w:rFonts w:cstheme="minorHAnsi"/>
        </w:rPr>
      </w:pPr>
      <w:r w:rsidRPr="007E08F7">
        <w:rPr>
          <w:rFonts w:cstheme="minorHAnsi"/>
        </w:rPr>
        <w:t>Całe województwo.</w:t>
      </w:r>
    </w:p>
    <w:p w14:paraId="43289079" w14:textId="75B23E8A" w:rsidR="00CA7301" w:rsidRPr="007E08F7" w:rsidRDefault="00CA7301" w:rsidP="00257B6D">
      <w:pPr>
        <w:pStyle w:val="Nagwek4"/>
        <w:rPr>
          <w:iCs w:val="0"/>
        </w:rPr>
      </w:pPr>
      <w:r w:rsidRPr="007E08F7">
        <w:rPr>
          <w:iCs w:val="0"/>
        </w:rPr>
        <w:t>Oczekiwane rezultaty</w:t>
      </w:r>
      <w:r w:rsidR="00EF7D8D" w:rsidRPr="007E08F7">
        <w:rPr>
          <w:iCs w:val="0"/>
        </w:rPr>
        <w:t xml:space="preserve"> CO 2.2</w:t>
      </w:r>
    </w:p>
    <w:p w14:paraId="626FB940" w14:textId="77777777" w:rsidR="00CA7301" w:rsidRPr="007E08F7" w:rsidRDefault="00CA7301">
      <w:pPr>
        <w:numPr>
          <w:ilvl w:val="0"/>
          <w:numId w:val="35"/>
        </w:numPr>
        <w:spacing w:before="120" w:after="120" w:line="288" w:lineRule="auto"/>
        <w:rPr>
          <w:rFonts w:eastAsia="Times New Roman"/>
        </w:rPr>
      </w:pPr>
      <w:r w:rsidRPr="007E08F7">
        <w:rPr>
          <w:rFonts w:eastAsia="Times New Roman"/>
        </w:rPr>
        <w:t>Wysoka świadomość cyfrowa Pomorzan.</w:t>
      </w:r>
    </w:p>
    <w:p w14:paraId="5270A24C" w14:textId="17730A55" w:rsidR="000C0538" w:rsidRPr="007E08F7" w:rsidRDefault="00CA7301">
      <w:pPr>
        <w:numPr>
          <w:ilvl w:val="0"/>
          <w:numId w:val="35"/>
        </w:numPr>
        <w:spacing w:before="120" w:after="120" w:line="288" w:lineRule="auto"/>
        <w:rPr>
          <w:rFonts w:eastAsia="Times New Roman"/>
        </w:rPr>
      </w:pPr>
      <w:r w:rsidRPr="007E08F7">
        <w:rPr>
          <w:rFonts w:eastAsia="Times New Roman"/>
        </w:rPr>
        <w:t xml:space="preserve">Wysoki poziom </w:t>
      </w:r>
      <w:proofErr w:type="spellStart"/>
      <w:r w:rsidRPr="007E08F7">
        <w:rPr>
          <w:rFonts w:eastAsia="Times New Roman"/>
        </w:rPr>
        <w:t>cyberbezpieczeństwa</w:t>
      </w:r>
      <w:proofErr w:type="spellEnd"/>
      <w:r w:rsidRPr="007E08F7">
        <w:rPr>
          <w:rFonts w:eastAsia="Times New Roman"/>
        </w:rPr>
        <w:t xml:space="preserve"> jednostek sektora publicznego</w:t>
      </w:r>
    </w:p>
    <w:p w14:paraId="5CE007E7" w14:textId="3A0D8B8A" w:rsidR="000C0538" w:rsidRPr="007E08F7" w:rsidRDefault="000C0538" w:rsidP="009F21B4">
      <w:pPr>
        <w:pStyle w:val="Nagwek4"/>
        <w:spacing w:before="360"/>
        <w:rPr>
          <w:iCs w:val="0"/>
        </w:rPr>
      </w:pPr>
      <w:r w:rsidRPr="007E08F7">
        <w:rPr>
          <w:iCs w:val="0"/>
        </w:rPr>
        <w:t>Wskaźniki</w:t>
      </w:r>
      <w:r w:rsidR="00EF7D8D" w:rsidRPr="007E08F7">
        <w:rPr>
          <w:iCs w:val="0"/>
        </w:rPr>
        <w:t xml:space="preserve"> CO 2.2</w:t>
      </w:r>
    </w:p>
    <w:tbl>
      <w:tblPr>
        <w:tblStyle w:val="Tabela-Siatka7"/>
        <w:tblW w:w="9067" w:type="dxa"/>
        <w:tblLook w:val="04A0" w:firstRow="1" w:lastRow="0" w:firstColumn="1" w:lastColumn="0" w:noHBand="0" w:noVBand="1"/>
      </w:tblPr>
      <w:tblGrid>
        <w:gridCol w:w="4531"/>
        <w:gridCol w:w="1418"/>
        <w:gridCol w:w="1843"/>
        <w:gridCol w:w="1275"/>
      </w:tblGrid>
      <w:tr w:rsidR="00C911DD" w:rsidRPr="007E08F7" w14:paraId="64A5D9A9" w14:textId="77777777" w:rsidTr="009F21B4">
        <w:trPr>
          <w:cantSplit/>
          <w:tblHeader/>
        </w:trPr>
        <w:tc>
          <w:tcPr>
            <w:tcW w:w="4531" w:type="dxa"/>
            <w:tcBorders>
              <w:right w:val="single" w:sz="4" w:space="0" w:color="FFFFFF" w:themeColor="background1"/>
            </w:tcBorders>
            <w:shd w:val="clear" w:color="auto" w:fill="153D63" w:themeFill="text2" w:themeFillTint="E6"/>
            <w:vAlign w:val="center"/>
          </w:tcPr>
          <w:p w14:paraId="719A2DBD"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1418" w:type="dxa"/>
            <w:tcBorders>
              <w:left w:val="single" w:sz="4" w:space="0" w:color="FFFFFF" w:themeColor="background1"/>
              <w:right w:val="single" w:sz="4" w:space="0" w:color="FFFFFF" w:themeColor="background1"/>
            </w:tcBorders>
            <w:shd w:val="clear" w:color="auto" w:fill="153D63" w:themeFill="text2" w:themeFillTint="E6"/>
            <w:vAlign w:val="center"/>
          </w:tcPr>
          <w:p w14:paraId="42D9AFD5" w14:textId="253D8A92"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bazowa</w:t>
            </w:r>
          </w:p>
        </w:tc>
        <w:tc>
          <w:tcPr>
            <w:tcW w:w="1843" w:type="dxa"/>
            <w:tcBorders>
              <w:left w:val="single" w:sz="4" w:space="0" w:color="FFFFFF" w:themeColor="background1"/>
              <w:right w:val="single" w:sz="4" w:space="0" w:color="FFFFFF" w:themeColor="background1"/>
            </w:tcBorders>
            <w:shd w:val="clear" w:color="auto" w:fill="153D63" w:themeFill="text2" w:themeFillTint="E6"/>
            <w:vAlign w:val="center"/>
          </w:tcPr>
          <w:p w14:paraId="343B681B"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1275" w:type="dxa"/>
            <w:tcBorders>
              <w:left w:val="single" w:sz="4" w:space="0" w:color="FFFFFF" w:themeColor="background1"/>
            </w:tcBorders>
            <w:shd w:val="clear" w:color="auto" w:fill="153D63" w:themeFill="text2" w:themeFillTint="E6"/>
            <w:vAlign w:val="center"/>
          </w:tcPr>
          <w:p w14:paraId="66159299"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C911DD" w:rsidRPr="007E08F7" w14:paraId="3002E5C6" w14:textId="77777777" w:rsidTr="009F21B4">
        <w:trPr>
          <w:cantSplit/>
        </w:trPr>
        <w:tc>
          <w:tcPr>
            <w:tcW w:w="4531" w:type="dxa"/>
            <w:vAlign w:val="center"/>
          </w:tcPr>
          <w:p w14:paraId="499C1FAE"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Odsetek osób posiadających co najmniej podstawowe umiejętności cyfrowe</w:t>
            </w:r>
          </w:p>
        </w:tc>
        <w:tc>
          <w:tcPr>
            <w:tcW w:w="1418" w:type="dxa"/>
            <w:vAlign w:val="center"/>
          </w:tcPr>
          <w:p w14:paraId="057836A6" w14:textId="1D6A9EAC" w:rsidR="00C911DD" w:rsidRPr="007E08F7" w:rsidRDefault="00C911DD" w:rsidP="003D2CB6">
            <w:pPr>
              <w:spacing w:line="259" w:lineRule="auto"/>
              <w:rPr>
                <w:rFonts w:eastAsia="Aptos" w:cs="Calibri"/>
                <w:kern w:val="2"/>
                <w14:ligatures w14:val="standardContextual"/>
              </w:rPr>
            </w:pPr>
            <w:r w:rsidRPr="007E08F7">
              <w:rPr>
                <w:rFonts w:eastAsia="Aptos" w:cs="Calibri"/>
                <w:kern w:val="2"/>
                <w14:ligatures w14:val="standardContextual"/>
              </w:rPr>
              <w:t>50,6%</w:t>
            </w:r>
            <w:r w:rsidR="009F21B4" w:rsidRPr="007E08F7">
              <w:rPr>
                <w:rFonts w:eastAsia="Aptos" w:cs="Calibri"/>
                <w:kern w:val="2"/>
                <w14:ligatures w14:val="standardContextual"/>
              </w:rPr>
              <w:t xml:space="preserve"> </w:t>
            </w:r>
            <w:r w:rsidRPr="007E08F7">
              <w:rPr>
                <w:rFonts w:eastAsia="Aptos" w:cs="Calibri"/>
                <w:kern w:val="2"/>
                <w14:ligatures w14:val="standardContextual"/>
              </w:rPr>
              <w:t>(2025)</w:t>
            </w:r>
          </w:p>
        </w:tc>
        <w:tc>
          <w:tcPr>
            <w:tcW w:w="1843" w:type="dxa"/>
            <w:vAlign w:val="center"/>
          </w:tcPr>
          <w:p w14:paraId="6FD52903" w14:textId="77777777" w:rsidR="00C911DD" w:rsidRPr="007E08F7" w:rsidRDefault="00C911DD" w:rsidP="003D2CB6">
            <w:pPr>
              <w:spacing w:line="259" w:lineRule="auto"/>
              <w:rPr>
                <w:rFonts w:eastAsia="Aptos" w:cs="Calibri"/>
                <w:kern w:val="2"/>
                <w14:ligatures w14:val="standardContextual"/>
              </w:rPr>
            </w:pPr>
            <w:r w:rsidRPr="007E08F7">
              <w:rPr>
                <w:rFonts w:eastAsia="Aptos" w:cs="Calibri"/>
                <w:kern w:val="2"/>
                <w14:ligatures w14:val="standardContextual"/>
              </w:rPr>
              <w:t>do uzupełnienia</w:t>
            </w:r>
          </w:p>
        </w:tc>
        <w:tc>
          <w:tcPr>
            <w:tcW w:w="1275" w:type="dxa"/>
            <w:vAlign w:val="center"/>
          </w:tcPr>
          <w:p w14:paraId="5F934675" w14:textId="77777777" w:rsidR="00C911DD" w:rsidRPr="007E08F7" w:rsidRDefault="00C911DD" w:rsidP="003D2CB6">
            <w:pPr>
              <w:spacing w:line="259" w:lineRule="auto"/>
              <w:rPr>
                <w:rFonts w:eastAsia="Aptos" w:cs="Calibri"/>
                <w:kern w:val="2"/>
                <w:lang w:val="en-US"/>
                <w14:ligatures w14:val="standardContextual"/>
              </w:rPr>
            </w:pPr>
            <w:r w:rsidRPr="007E08F7">
              <w:rPr>
                <w:rFonts w:eastAsia="Aptos" w:cs="Calibri"/>
                <w:kern w:val="2"/>
                <w:lang w:val="en-US"/>
                <w14:ligatures w14:val="standardContextual"/>
              </w:rPr>
              <w:t>GUS</w:t>
            </w:r>
          </w:p>
        </w:tc>
      </w:tr>
      <w:tr w:rsidR="00C911DD" w:rsidRPr="007E08F7" w14:paraId="254F7F7B" w14:textId="77777777" w:rsidTr="009F21B4">
        <w:trPr>
          <w:cantSplit/>
        </w:trPr>
        <w:tc>
          <w:tcPr>
            <w:tcW w:w="4531" w:type="dxa"/>
            <w:vAlign w:val="center"/>
          </w:tcPr>
          <w:p w14:paraId="7A35ACA6"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Odsetek jednostek administracji publicznej, które przeprowadziły audyt bezpieczeństwa systemu informacyjnego</w:t>
            </w:r>
          </w:p>
        </w:tc>
        <w:tc>
          <w:tcPr>
            <w:tcW w:w="1418" w:type="dxa"/>
            <w:vAlign w:val="center"/>
          </w:tcPr>
          <w:p w14:paraId="782D66B2" w14:textId="59F510E8" w:rsidR="00C911DD" w:rsidRPr="007E08F7" w:rsidRDefault="00C911DD" w:rsidP="003D2CB6">
            <w:pPr>
              <w:spacing w:line="259" w:lineRule="auto"/>
              <w:rPr>
                <w:rFonts w:eastAsia="Aptos" w:cs="Calibri"/>
                <w:kern w:val="2"/>
                <w14:ligatures w14:val="standardContextual"/>
              </w:rPr>
            </w:pPr>
            <w:r w:rsidRPr="007E08F7">
              <w:rPr>
                <w:rFonts w:eastAsia="Aptos" w:cs="Calibri"/>
                <w:kern w:val="2"/>
                <w14:ligatures w14:val="standardContextual"/>
              </w:rPr>
              <w:t>85,8% (2025)</w:t>
            </w:r>
          </w:p>
        </w:tc>
        <w:tc>
          <w:tcPr>
            <w:tcW w:w="1843" w:type="dxa"/>
            <w:vAlign w:val="center"/>
          </w:tcPr>
          <w:p w14:paraId="00C9A764" w14:textId="77777777" w:rsidR="00C911DD" w:rsidRPr="007E08F7" w:rsidRDefault="00C911DD" w:rsidP="003D2CB6">
            <w:pPr>
              <w:spacing w:line="259" w:lineRule="auto"/>
              <w:rPr>
                <w:rFonts w:eastAsia="Aptos" w:cs="Calibri"/>
                <w:kern w:val="2"/>
                <w14:ligatures w14:val="standardContextual"/>
              </w:rPr>
            </w:pPr>
            <w:r w:rsidRPr="007E08F7">
              <w:rPr>
                <w:rFonts w:eastAsia="Aptos" w:cs="Calibri"/>
                <w:kern w:val="2"/>
                <w14:ligatures w14:val="standardContextual"/>
              </w:rPr>
              <w:t>do uzupełnienia</w:t>
            </w:r>
          </w:p>
        </w:tc>
        <w:tc>
          <w:tcPr>
            <w:tcW w:w="1275" w:type="dxa"/>
            <w:vAlign w:val="center"/>
          </w:tcPr>
          <w:p w14:paraId="53274A05" w14:textId="77777777" w:rsidR="00C911DD" w:rsidRPr="007E08F7" w:rsidRDefault="00C911DD" w:rsidP="003D2CB6">
            <w:pPr>
              <w:spacing w:line="259" w:lineRule="auto"/>
              <w:rPr>
                <w:rFonts w:eastAsia="Aptos" w:cs="Calibri"/>
                <w:kern w:val="2"/>
                <w14:ligatures w14:val="standardContextual"/>
              </w:rPr>
            </w:pPr>
            <w:r w:rsidRPr="007E08F7">
              <w:rPr>
                <w:rFonts w:eastAsia="Aptos" w:cs="Calibri"/>
                <w:kern w:val="2"/>
                <w14:ligatures w14:val="standardContextual"/>
              </w:rPr>
              <w:t>GUS</w:t>
            </w:r>
          </w:p>
        </w:tc>
      </w:tr>
    </w:tbl>
    <w:p w14:paraId="06D6DD54" w14:textId="39A87042" w:rsidR="00CA7301" w:rsidRPr="007E08F7" w:rsidRDefault="00CA7301" w:rsidP="009F21B4">
      <w:pPr>
        <w:pStyle w:val="Nagwek4"/>
        <w:spacing w:before="360"/>
        <w:rPr>
          <w:rFonts w:eastAsia="Calibri"/>
          <w:iCs w:val="0"/>
        </w:rPr>
      </w:pPr>
      <w:r w:rsidRPr="007E08F7">
        <w:rPr>
          <w:rFonts w:eastAsia="Calibri"/>
          <w:iCs w:val="0"/>
        </w:rPr>
        <w:t>Postulaty wobec władz centralnych</w:t>
      </w:r>
      <w:r w:rsidR="00EF7D8D" w:rsidRPr="007E08F7">
        <w:rPr>
          <w:iCs w:val="0"/>
        </w:rPr>
        <w:t xml:space="preserve"> CO 2.2</w:t>
      </w:r>
    </w:p>
    <w:p w14:paraId="3A7E9A0B" w14:textId="77777777" w:rsidR="00CA7301" w:rsidRPr="007E08F7" w:rsidRDefault="00CA7301">
      <w:pPr>
        <w:numPr>
          <w:ilvl w:val="0"/>
          <w:numId w:val="52"/>
        </w:numPr>
        <w:spacing w:before="120" w:after="120" w:line="288" w:lineRule="auto"/>
        <w:rPr>
          <w:rFonts w:cstheme="minorHAnsi"/>
        </w:rPr>
      </w:pPr>
      <w:r w:rsidRPr="007E08F7">
        <w:t>Ustanowienie systemowych ograniczeń ekspozycji dzieci na szkodliwe treści w mediach społecznościowych i elektronicznych oraz zapewnienie jednolitych standardów higieny cyfrowej w szkołach.</w:t>
      </w:r>
    </w:p>
    <w:p w14:paraId="2B99221B" w14:textId="184F8092" w:rsidR="001A619C" w:rsidRPr="007E08F7" w:rsidRDefault="00CA7301">
      <w:pPr>
        <w:numPr>
          <w:ilvl w:val="0"/>
          <w:numId w:val="52"/>
        </w:numPr>
        <w:spacing w:before="120" w:after="120" w:line="288" w:lineRule="auto"/>
        <w:rPr>
          <w:rFonts w:cstheme="minorHAnsi"/>
        </w:rPr>
      </w:pPr>
      <w:r w:rsidRPr="007E08F7">
        <w:t>Wprowadzenie rozwiązań systemowych zwiększających odpowiedzialności dostawców usług cyfrowych za ograniczenie dostępu małoletnich do mediów społecznościowych</w:t>
      </w:r>
      <w:r w:rsidR="001A619C" w:rsidRPr="007E08F7">
        <w:t>.</w:t>
      </w:r>
      <w:r w:rsidR="001A619C" w:rsidRPr="007E08F7">
        <w:rPr>
          <w:rFonts w:cstheme="minorHAnsi"/>
        </w:rPr>
        <w:br w:type="page"/>
      </w:r>
    </w:p>
    <w:p w14:paraId="2CBE3263" w14:textId="77777777" w:rsidR="001A619C" w:rsidRPr="007E08F7" w:rsidRDefault="001A619C" w:rsidP="002F715A">
      <w:pPr>
        <w:pStyle w:val="Nagwek3"/>
      </w:pPr>
      <w:bookmarkStart w:id="59" w:name="_Toc239772086"/>
      <w:r w:rsidRPr="007E08F7">
        <w:lastRenderedPageBreak/>
        <w:t>Cel operacyjny 2.3. Adaptacja do zmian klimatu</w:t>
      </w:r>
      <w:bookmarkEnd w:id="59"/>
    </w:p>
    <w:p w14:paraId="179FCBDF" w14:textId="5A5C029E" w:rsidR="001A619C" w:rsidRPr="007E08F7" w:rsidRDefault="001A619C" w:rsidP="00B32464">
      <w:pPr>
        <w:pStyle w:val="Nagwek4"/>
        <w:rPr>
          <w:iCs w:val="0"/>
        </w:rPr>
      </w:pPr>
      <w:r w:rsidRPr="007E08F7">
        <w:rPr>
          <w:iCs w:val="0"/>
        </w:rPr>
        <w:t>Przesłanki realizacji Celu operacyjnego</w:t>
      </w:r>
      <w:r w:rsidR="00EF7D8D" w:rsidRPr="007E08F7">
        <w:rPr>
          <w:iCs w:val="0"/>
        </w:rPr>
        <w:t xml:space="preserve"> 2.3</w:t>
      </w:r>
    </w:p>
    <w:p w14:paraId="61225795" w14:textId="539C94C0" w:rsidR="00B25589" w:rsidRPr="007E08F7" w:rsidRDefault="00B25589" w:rsidP="00B25589">
      <w:pPr>
        <w:spacing w:before="120" w:after="120" w:line="288" w:lineRule="auto"/>
        <w:rPr>
          <w:rFonts w:eastAsia="Aptos"/>
        </w:rPr>
      </w:pPr>
      <w:r w:rsidRPr="007E08F7">
        <w:rPr>
          <w:rFonts w:eastAsia="Aptos"/>
        </w:rPr>
        <w:t>Postępujące stopniowo zmiany klimatu powodują, że region powinien kontynuować działania adaptacyjne, które ograniczają negatywne konsekwencje występujących coraz częściej ekstremalnych zjawisk pogodowych. Istotnym problemem staje się susza, niskie stany wód w rzekach i związana z tym kwestia zapewnienia w niezbędnych ilościach i jakości wody mieszkańcom, rolnictwu oraz gospodarce. Z kolei deszcze nawalne będą zwiększały ryzyko wystąpienia lokalnych podtopień, powodzi błyskawicznych w miastach, jak i powodzi od strony rzek. Wezbrania sztormowe Morza Bałtyckiego będą nasilały występowanie zjawiska cofki, tj. wpychania wód morskich w</w:t>
      </w:r>
      <w:r w:rsidR="0076110A" w:rsidRPr="007E08F7">
        <w:rPr>
          <w:rFonts w:eastAsia="Aptos"/>
        </w:rPr>
        <w:t> </w:t>
      </w:r>
      <w:r w:rsidRPr="007E08F7">
        <w:rPr>
          <w:rFonts w:eastAsia="Aptos"/>
        </w:rPr>
        <w:t>głąb lądu</w:t>
      </w:r>
      <w:r w:rsidR="00A56875" w:rsidRPr="007E08F7">
        <w:rPr>
          <w:rFonts w:eastAsia="Aptos"/>
        </w:rPr>
        <w:t>,</w:t>
      </w:r>
      <w:r w:rsidRPr="007E08F7">
        <w:rPr>
          <w:rFonts w:eastAsia="Aptos"/>
        </w:rPr>
        <w:t xml:space="preserve"> stwarzając zagrożenie dla terenów nadmorskich i depresyjnych. Wyższe temperatury powietrza nasilają efekt tworzenia miejskich wysp ciepła, które w przypadku dłuższego występowania, negatywnie wpływają na zdrowie ludzi. Wysokie temperatury to także większe prawdopodobieństwo występowania pożarów lasów oraz problem z utrzymaniem poziomu wód w jeziorach, które</w:t>
      </w:r>
      <w:r w:rsidR="00A56875" w:rsidRPr="007E08F7">
        <w:rPr>
          <w:rFonts w:eastAsia="Aptos"/>
        </w:rPr>
        <w:t>,</w:t>
      </w:r>
      <w:r w:rsidRPr="007E08F7">
        <w:rPr>
          <w:rFonts w:eastAsia="Aptos"/>
        </w:rPr>
        <w:t xml:space="preserve"> obniżając się</w:t>
      </w:r>
      <w:r w:rsidR="00A56875" w:rsidRPr="007E08F7">
        <w:rPr>
          <w:rFonts w:eastAsia="Aptos"/>
        </w:rPr>
        <w:t>,</w:t>
      </w:r>
      <w:r w:rsidRPr="007E08F7">
        <w:rPr>
          <w:rFonts w:eastAsia="Aptos"/>
        </w:rPr>
        <w:t xml:space="preserve"> nasilają suszę. Odpowiedzią na te zjawiska są działania z zakresu adaptacji do zmian klimatu takie jak: rozwój błękitno-zielonej infrastruktury oraz innych rozwiązań opartych na naturze, retencja wodna, </w:t>
      </w:r>
      <w:proofErr w:type="spellStart"/>
      <w:r w:rsidRPr="007E08F7">
        <w:rPr>
          <w:rFonts w:eastAsia="Aptos"/>
        </w:rPr>
        <w:t>renaturyzacja</w:t>
      </w:r>
      <w:proofErr w:type="spellEnd"/>
      <w:r w:rsidRPr="007E08F7">
        <w:rPr>
          <w:rFonts w:eastAsia="Aptos"/>
        </w:rPr>
        <w:t xml:space="preserve"> rzek i terenów podmokłych oraz wzmacnianie infrastruktury przeciwpowodziowej, w szczególności na obszarze Żuław.</w:t>
      </w:r>
      <w:r w:rsidRPr="007E08F7">
        <w:rPr>
          <w:rFonts w:ascii="Segoe UI" w:hAnsi="Segoe UI" w:cs="Segoe UI"/>
          <w:sz w:val="18"/>
          <w:szCs w:val="18"/>
        </w:rPr>
        <w:t xml:space="preserve"> </w:t>
      </w:r>
      <w:r w:rsidRPr="007E08F7">
        <w:rPr>
          <w:rFonts w:eastAsia="Aptos"/>
        </w:rPr>
        <w:t>Rozwój zielonej i błękitno-zielonej infrastruktury tworzy również środowisko i przestrzeń sprzyjające zdrowiu fizycznemu i psychicznemu, aktywności fizycznej, regeneracji oraz poprawie jakości życia mieszkańców.</w:t>
      </w:r>
    </w:p>
    <w:p w14:paraId="7D86CE96" w14:textId="4255ECE3" w:rsidR="00B25589" w:rsidRPr="007E08F7" w:rsidRDefault="00B25589" w:rsidP="00B25589">
      <w:pPr>
        <w:spacing w:before="120" w:after="120" w:line="288" w:lineRule="auto"/>
        <w:rPr>
          <w:rFonts w:eastAsia="Aptos"/>
        </w:rPr>
      </w:pPr>
      <w:r w:rsidRPr="007E08F7">
        <w:rPr>
          <w:rFonts w:eastAsia="Aptos"/>
        </w:rPr>
        <w:t>Budowa odpornego społeczeństwa oznacza też zapewnienie mieszkańcom ciągłości dostaw wystarczających ilości wody pitnej o wymaganej jakości oraz odbiór i oczyszczanie ścieków. Wyzwaniem będzie spełnienie wymagań prawnych dotyczących oczyszczania ścieków komunalnych odnoszących się do: jakości ścieków oczyszczonych, neutralności energetycznej, redukcji emisji gazów cieplarnianych oraz w</w:t>
      </w:r>
      <w:r w:rsidR="0076110A" w:rsidRPr="007E08F7">
        <w:rPr>
          <w:rFonts w:eastAsia="Aptos"/>
        </w:rPr>
        <w:t> </w:t>
      </w:r>
      <w:r w:rsidRPr="007E08F7">
        <w:rPr>
          <w:rFonts w:eastAsia="Aptos"/>
        </w:rPr>
        <w:t>zakresie odzysku wody i biogenów. W efekcie tych zmian oczyszczalnie ścieków staną się ważnymi elementami gospodarki o obiegu zamkniętym. Ponadto</w:t>
      </w:r>
      <w:r w:rsidR="00A56875" w:rsidRPr="007E08F7">
        <w:rPr>
          <w:rFonts w:eastAsia="Aptos"/>
        </w:rPr>
        <w:t>,</w:t>
      </w:r>
      <w:r w:rsidRPr="007E08F7">
        <w:rPr>
          <w:rFonts w:eastAsia="Aptos"/>
        </w:rPr>
        <w:t xml:space="preserve"> infrastruktura zaopatrzenia w wodę pitną, jak i oczyszczania ścieków, powinna być w lepszym stopniu zabezpieczona przed atakami sabotażowymi i innymi działaniami niepożądanymi. Do</w:t>
      </w:r>
      <w:r w:rsidR="0076110A" w:rsidRPr="007E08F7">
        <w:rPr>
          <w:rFonts w:eastAsia="Aptos"/>
        </w:rPr>
        <w:t> </w:t>
      </w:r>
      <w:r w:rsidRPr="007E08F7">
        <w:rPr>
          <w:rFonts w:eastAsia="Aptos"/>
        </w:rPr>
        <w:t>obu tych kategorii instalacji będzie w coraz większym stopniu wprowadzana digitalizacja oraz narzędzia sztucznej inteligencji.</w:t>
      </w:r>
    </w:p>
    <w:p w14:paraId="37B03A11" w14:textId="4CCF1451" w:rsidR="00B25589" w:rsidRPr="007E08F7" w:rsidRDefault="00B25589" w:rsidP="00B25589">
      <w:pPr>
        <w:spacing w:before="120" w:after="120" w:line="288" w:lineRule="auto"/>
        <w:rPr>
          <w:rFonts w:eastAsia="Aptos"/>
        </w:rPr>
      </w:pPr>
      <w:r w:rsidRPr="007E08F7">
        <w:rPr>
          <w:rFonts w:eastAsia="Aptos"/>
        </w:rPr>
        <w:t xml:space="preserve">Bezpieczny region to także zrównoważone ekosystemy oraz bogata różnorodność biologiczna, o które należy dbać i je wzmacniać. Świat przyrodniczy znajduje się pod rosnącą presją powodowaną przez zmiany klimatu oraz inną działalność ludzi, ale rozwiązania oparte na naturze są skutecznymi działaniami adaptacyjnymi, a możliwość szybkiego dostępu do terenów zieleni zwiększa atrakcyjność miejsca zamieszkania oraz </w:t>
      </w:r>
      <w:r w:rsidRPr="007E08F7">
        <w:rPr>
          <w:rFonts w:eastAsia="Aptos"/>
        </w:rPr>
        <w:lastRenderedPageBreak/>
        <w:t xml:space="preserve">sprzyja zdrowiu i dobrostanowi mieszkańców. Oczekiwanym kierunkiem działania jest zwiększanie powierzchni terenów zieleni, obszarów leśnych, a także rozwój i wzmacnianie systemu obszarów chronionych na lądzie i morzu. Istotna jest również ochrona jezior oraz mokradeł, które mogą stanowić naturalną i efektywną barierę utrudniającą poruszanie się obcych wojsk w przypadku ewentualnego konfliktu zbrojnego. Powinna być także prowadzona ochrona gatunkowa oraz odbudowa różnych typów ekosystemów, zarówno lądowych, jak i morskich. Ochroną </w:t>
      </w:r>
      <w:r w:rsidR="00A56875" w:rsidRPr="007E08F7">
        <w:rPr>
          <w:rFonts w:eastAsia="Aptos"/>
        </w:rPr>
        <w:t>należy również objąć</w:t>
      </w:r>
      <w:r w:rsidRPr="007E08F7">
        <w:rPr>
          <w:rFonts w:eastAsia="Aptos"/>
        </w:rPr>
        <w:t xml:space="preserve"> krajobrazy priorytetowe. Potrzebny jest też rozwój wolontariatu środowiskowego, edukacji przyrodniczej oraz wspierania zaangażowania mieszkańców w ochronę przyrody</w:t>
      </w:r>
      <w:r w:rsidR="00C013F2" w:rsidRPr="007E08F7">
        <w:rPr>
          <w:rFonts w:eastAsia="Aptos"/>
        </w:rPr>
        <w:t>,</w:t>
      </w:r>
      <w:r w:rsidRPr="007E08F7">
        <w:rPr>
          <w:rFonts w:eastAsia="Aptos"/>
        </w:rPr>
        <w:t xml:space="preserve"> jako elementu zwiększania odporności regionu i ochrony wybrzeża. </w:t>
      </w:r>
    </w:p>
    <w:p w14:paraId="7EB07577" w14:textId="2EC26B4D" w:rsidR="00B25589" w:rsidRPr="007E08F7" w:rsidRDefault="00B25589" w:rsidP="00B32464">
      <w:pPr>
        <w:pStyle w:val="Nagwek4"/>
        <w:rPr>
          <w:iCs w:val="0"/>
        </w:rPr>
      </w:pPr>
      <w:r w:rsidRPr="007E08F7">
        <w:rPr>
          <w:iCs w:val="0"/>
        </w:rPr>
        <w:t xml:space="preserve">Ukierunkowanie tematyczne </w:t>
      </w:r>
      <w:r w:rsidR="00EF7D8D" w:rsidRPr="007E08F7">
        <w:rPr>
          <w:iCs w:val="0"/>
        </w:rPr>
        <w:t xml:space="preserve">CO 2.3 </w:t>
      </w:r>
      <w:r w:rsidR="00EF7D8D" w:rsidRPr="007E08F7">
        <w:rPr>
          <w:iCs w:val="0"/>
        </w:rPr>
        <w:br/>
      </w:r>
      <w:r w:rsidRPr="007E08F7">
        <w:rPr>
          <w:iCs w:val="0"/>
        </w:rPr>
        <w:t>(kluczowe kierunki interwencji i działania)</w:t>
      </w:r>
    </w:p>
    <w:p w14:paraId="52974785" w14:textId="77777777" w:rsidR="00B25589" w:rsidRPr="007E08F7" w:rsidRDefault="00B25589" w:rsidP="00B25589">
      <w:pPr>
        <w:spacing w:before="120" w:after="120" w:line="288" w:lineRule="auto"/>
      </w:pPr>
      <w:r w:rsidRPr="007E08F7">
        <w:rPr>
          <w:b/>
          <w:bCs/>
        </w:rPr>
        <w:t>2.3.1</w:t>
      </w:r>
      <w:r w:rsidRPr="007E08F7">
        <w:t xml:space="preserve"> </w:t>
      </w:r>
      <w:r w:rsidRPr="007E08F7">
        <w:br/>
        <w:t>Działania adaptacyjne do zmian klimatu</w:t>
      </w:r>
    </w:p>
    <w:p w14:paraId="109FABBC" w14:textId="77777777" w:rsidR="00B25589" w:rsidRPr="007E08F7" w:rsidRDefault="00B25589" w:rsidP="00B25589">
      <w:pPr>
        <w:spacing w:before="120" w:after="120" w:line="288" w:lineRule="auto"/>
        <w:rPr>
          <w:rFonts w:cstheme="minorHAnsi"/>
        </w:rPr>
      </w:pPr>
      <w:r w:rsidRPr="007E08F7">
        <w:rPr>
          <w:b/>
          <w:bCs/>
        </w:rPr>
        <w:t>2.3.2</w:t>
      </w:r>
      <w:r w:rsidRPr="007E08F7">
        <w:br/>
      </w:r>
      <w:r w:rsidRPr="007E08F7">
        <w:rPr>
          <w:rFonts w:cstheme="minorHAnsi"/>
        </w:rPr>
        <w:t>Bezpieczeństwo i jakość zaopatrzenia w wodę pitną oraz oczyszczania ścieków.</w:t>
      </w:r>
    </w:p>
    <w:p w14:paraId="588C0CC8" w14:textId="77777777" w:rsidR="00B25589" w:rsidRPr="007E08F7" w:rsidRDefault="00B25589" w:rsidP="00B25589">
      <w:pPr>
        <w:spacing w:before="120" w:after="120" w:line="288" w:lineRule="auto"/>
        <w:rPr>
          <w:rFonts w:cstheme="minorHAnsi"/>
        </w:rPr>
      </w:pPr>
      <w:r w:rsidRPr="007E08F7">
        <w:rPr>
          <w:rFonts w:cstheme="minorHAnsi"/>
          <w:b/>
          <w:bCs/>
        </w:rPr>
        <w:t>2.3.3</w:t>
      </w:r>
      <w:r w:rsidRPr="007E08F7">
        <w:br/>
      </w:r>
      <w:r w:rsidRPr="007E08F7">
        <w:rPr>
          <w:rFonts w:cstheme="minorHAnsi"/>
        </w:rPr>
        <w:t>Ochrona i wzmacnianie różnorodności biologicznej i krajobrazów priorytetowych oraz edukacja przyrodnicza.</w:t>
      </w:r>
    </w:p>
    <w:p w14:paraId="0FD34B6C" w14:textId="23BE5580" w:rsidR="00B25589" w:rsidRPr="007E08F7" w:rsidRDefault="00B25589" w:rsidP="00B32464">
      <w:pPr>
        <w:pStyle w:val="Nagwek4"/>
        <w:rPr>
          <w:iCs w:val="0"/>
        </w:rPr>
      </w:pPr>
      <w:r w:rsidRPr="007E08F7">
        <w:rPr>
          <w:iCs w:val="0"/>
        </w:rPr>
        <w:t>Ukierunkowanie terytorialne</w:t>
      </w:r>
      <w:r w:rsidR="00EF7D8D" w:rsidRPr="007E08F7">
        <w:rPr>
          <w:iCs w:val="0"/>
        </w:rPr>
        <w:t xml:space="preserve"> CO 2.3</w:t>
      </w:r>
    </w:p>
    <w:p w14:paraId="38011DE4" w14:textId="77777777" w:rsidR="00B25589" w:rsidRPr="007E08F7" w:rsidRDefault="00B25589" w:rsidP="00B25589">
      <w:pPr>
        <w:spacing w:before="120" w:after="120" w:line="288" w:lineRule="auto"/>
        <w:rPr>
          <w:rFonts w:cstheme="minorHAnsi"/>
        </w:rPr>
      </w:pPr>
      <w:r w:rsidRPr="007E08F7">
        <w:rPr>
          <w:rFonts w:cstheme="minorHAnsi"/>
        </w:rPr>
        <w:t xml:space="preserve">Całe województwo </w:t>
      </w:r>
    </w:p>
    <w:p w14:paraId="1DE47B63" w14:textId="3216BA37" w:rsidR="00B25589" w:rsidRPr="007E08F7" w:rsidRDefault="00B25589" w:rsidP="00B32464">
      <w:pPr>
        <w:pStyle w:val="Nagwek4"/>
        <w:rPr>
          <w:iCs w:val="0"/>
        </w:rPr>
      </w:pPr>
      <w:r w:rsidRPr="007E08F7">
        <w:rPr>
          <w:iCs w:val="0"/>
        </w:rPr>
        <w:t>Oczekiwane rezultaty</w:t>
      </w:r>
      <w:r w:rsidR="00EF7D8D" w:rsidRPr="007E08F7">
        <w:rPr>
          <w:iCs w:val="0"/>
        </w:rPr>
        <w:t xml:space="preserve"> CO 2.3</w:t>
      </w:r>
    </w:p>
    <w:p w14:paraId="615E4A59" w14:textId="77777777" w:rsidR="00B25589" w:rsidRPr="007E08F7" w:rsidRDefault="00B25589">
      <w:pPr>
        <w:numPr>
          <w:ilvl w:val="0"/>
          <w:numId w:val="33"/>
        </w:numPr>
        <w:spacing w:before="120" w:after="120" w:line="288" w:lineRule="auto"/>
        <w:rPr>
          <w:rFonts w:cstheme="minorHAnsi"/>
        </w:rPr>
      </w:pPr>
      <w:r w:rsidRPr="007E08F7">
        <w:rPr>
          <w:rFonts w:cstheme="minorHAnsi"/>
        </w:rPr>
        <w:t>Wzrost bezpieczeństwa środowiskowo-klimatycznego</w:t>
      </w:r>
    </w:p>
    <w:p w14:paraId="795719D0" w14:textId="77777777" w:rsidR="00B25589" w:rsidRPr="007E08F7" w:rsidRDefault="00B25589">
      <w:pPr>
        <w:numPr>
          <w:ilvl w:val="0"/>
          <w:numId w:val="33"/>
        </w:numPr>
        <w:spacing w:before="120" w:after="120" w:line="288" w:lineRule="auto"/>
        <w:rPr>
          <w:rFonts w:cstheme="minorHAnsi"/>
        </w:rPr>
      </w:pPr>
      <w:r w:rsidRPr="007E08F7">
        <w:rPr>
          <w:rFonts w:cstheme="minorHAnsi"/>
        </w:rPr>
        <w:t>Zabezpieczone dostawy wody pitnej i efektywne oczyszczanie ścieków</w:t>
      </w:r>
    </w:p>
    <w:p w14:paraId="3F0B3921" w14:textId="1F9EC4CB" w:rsidR="002F715A" w:rsidRPr="007E08F7" w:rsidRDefault="00B25589">
      <w:pPr>
        <w:numPr>
          <w:ilvl w:val="0"/>
          <w:numId w:val="33"/>
        </w:numPr>
        <w:spacing w:before="120" w:after="120" w:line="288" w:lineRule="auto"/>
        <w:rPr>
          <w:rFonts w:cstheme="minorHAnsi"/>
        </w:rPr>
      </w:pPr>
      <w:r w:rsidRPr="007E08F7">
        <w:rPr>
          <w:rFonts w:cstheme="minorHAnsi"/>
        </w:rPr>
        <w:t>Chronione bogactwo przyrodniczo-krajobrazowe i bezpieczne ekosystemy.</w:t>
      </w:r>
    </w:p>
    <w:p w14:paraId="28F07504" w14:textId="77777777" w:rsidR="002F715A" w:rsidRPr="007E08F7" w:rsidRDefault="002F715A">
      <w:pPr>
        <w:rPr>
          <w:rFonts w:cstheme="minorHAnsi"/>
        </w:rPr>
      </w:pPr>
      <w:r w:rsidRPr="007E08F7">
        <w:rPr>
          <w:rFonts w:cstheme="minorHAnsi"/>
        </w:rPr>
        <w:br w:type="page"/>
      </w:r>
    </w:p>
    <w:p w14:paraId="72FD503E" w14:textId="75106775" w:rsidR="000C0538" w:rsidRPr="007E08F7" w:rsidRDefault="000C0538" w:rsidP="00B32464">
      <w:pPr>
        <w:pStyle w:val="Nagwek4"/>
        <w:rPr>
          <w:iCs w:val="0"/>
        </w:rPr>
      </w:pPr>
      <w:r w:rsidRPr="007E08F7">
        <w:rPr>
          <w:iCs w:val="0"/>
        </w:rPr>
        <w:lastRenderedPageBreak/>
        <w:t>Wskaźniki</w:t>
      </w:r>
      <w:r w:rsidR="00EF7D8D" w:rsidRPr="007E08F7">
        <w:rPr>
          <w:iCs w:val="0"/>
        </w:rPr>
        <w:t xml:space="preserve"> CO 2.3</w:t>
      </w:r>
    </w:p>
    <w:tbl>
      <w:tblPr>
        <w:tblStyle w:val="Tabela-Siatka8"/>
        <w:tblW w:w="5000" w:type="pct"/>
        <w:tblLook w:val="04A0" w:firstRow="1" w:lastRow="0" w:firstColumn="1" w:lastColumn="0" w:noHBand="0" w:noVBand="1"/>
      </w:tblPr>
      <w:tblGrid>
        <w:gridCol w:w="4532"/>
        <w:gridCol w:w="1560"/>
        <w:gridCol w:w="1841"/>
        <w:gridCol w:w="1129"/>
      </w:tblGrid>
      <w:tr w:rsidR="00C911DD" w:rsidRPr="007E08F7" w14:paraId="36822A9E" w14:textId="77777777" w:rsidTr="009F21B4">
        <w:trPr>
          <w:tblHeader/>
        </w:trPr>
        <w:tc>
          <w:tcPr>
            <w:tcW w:w="2500" w:type="pct"/>
            <w:tcBorders>
              <w:right w:val="single" w:sz="4" w:space="0" w:color="FFFFFF" w:themeColor="background1"/>
            </w:tcBorders>
            <w:shd w:val="clear" w:color="auto" w:fill="153D63" w:themeFill="text2" w:themeFillTint="E6"/>
            <w:vAlign w:val="center"/>
          </w:tcPr>
          <w:p w14:paraId="50E2D634"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861" w:type="pct"/>
            <w:tcBorders>
              <w:left w:val="single" w:sz="4" w:space="0" w:color="FFFFFF" w:themeColor="background1"/>
              <w:right w:val="single" w:sz="4" w:space="0" w:color="FFFFFF" w:themeColor="background1"/>
            </w:tcBorders>
            <w:shd w:val="clear" w:color="auto" w:fill="153D63" w:themeFill="text2" w:themeFillTint="E6"/>
            <w:vAlign w:val="center"/>
          </w:tcPr>
          <w:p w14:paraId="29407204" w14:textId="593E9FB1"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bazowa</w:t>
            </w:r>
          </w:p>
        </w:tc>
        <w:tc>
          <w:tcPr>
            <w:tcW w:w="1016" w:type="pct"/>
            <w:tcBorders>
              <w:left w:val="single" w:sz="4" w:space="0" w:color="FFFFFF" w:themeColor="background1"/>
              <w:right w:val="single" w:sz="4" w:space="0" w:color="FFFFFF" w:themeColor="background1"/>
            </w:tcBorders>
            <w:shd w:val="clear" w:color="auto" w:fill="153D63" w:themeFill="text2" w:themeFillTint="E6"/>
            <w:vAlign w:val="center"/>
          </w:tcPr>
          <w:p w14:paraId="2862D73A"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623" w:type="pct"/>
            <w:tcBorders>
              <w:left w:val="single" w:sz="4" w:space="0" w:color="FFFFFF" w:themeColor="background1"/>
            </w:tcBorders>
            <w:shd w:val="clear" w:color="auto" w:fill="153D63" w:themeFill="text2" w:themeFillTint="E6"/>
            <w:vAlign w:val="center"/>
          </w:tcPr>
          <w:p w14:paraId="72E78264"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C911DD" w:rsidRPr="007E08F7" w14:paraId="14E0C2CA" w14:textId="77777777" w:rsidTr="009F21B4">
        <w:tc>
          <w:tcPr>
            <w:tcW w:w="2500" w:type="pct"/>
            <w:vAlign w:val="center"/>
          </w:tcPr>
          <w:p w14:paraId="3AA9C5A4"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Pojemność obiektów małej retencji na 1 km² powierzchni województwa </w:t>
            </w:r>
          </w:p>
        </w:tc>
        <w:tc>
          <w:tcPr>
            <w:tcW w:w="861" w:type="pct"/>
            <w:vAlign w:val="center"/>
          </w:tcPr>
          <w:p w14:paraId="1E10010B"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0,2 dam³/km² (2025)</w:t>
            </w:r>
          </w:p>
        </w:tc>
        <w:tc>
          <w:tcPr>
            <w:tcW w:w="1016" w:type="pct"/>
            <w:vAlign w:val="center"/>
          </w:tcPr>
          <w:p w14:paraId="6704BC04"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623" w:type="pct"/>
            <w:vAlign w:val="center"/>
          </w:tcPr>
          <w:p w14:paraId="3BADC80F"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GUS</w:t>
            </w:r>
          </w:p>
        </w:tc>
      </w:tr>
      <w:tr w:rsidR="00C911DD" w:rsidRPr="007E08F7" w14:paraId="11AA78A5" w14:textId="77777777" w:rsidTr="009F21B4">
        <w:tc>
          <w:tcPr>
            <w:tcW w:w="2500" w:type="pct"/>
            <w:vAlign w:val="center"/>
          </w:tcPr>
          <w:p w14:paraId="0D9D82F9"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Odsetek ludności korzystającej z sieci kanalizacyjnej na obszarach wiejskich</w:t>
            </w:r>
          </w:p>
        </w:tc>
        <w:tc>
          <w:tcPr>
            <w:tcW w:w="861" w:type="pct"/>
            <w:vAlign w:val="center"/>
          </w:tcPr>
          <w:p w14:paraId="6EB637C9" w14:textId="6E0C6360"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68,2%</w:t>
            </w:r>
            <w:r w:rsidR="009F21B4" w:rsidRPr="007E08F7">
              <w:rPr>
                <w:rFonts w:eastAsia="Aptos" w:cs="Calibri"/>
                <w:kern w:val="2"/>
                <w14:ligatures w14:val="standardContextual"/>
              </w:rPr>
              <w:br/>
            </w:r>
            <w:r w:rsidRPr="007E08F7">
              <w:rPr>
                <w:rFonts w:eastAsia="Aptos" w:cs="Calibri"/>
                <w:kern w:val="2"/>
                <w14:ligatures w14:val="standardContextual"/>
              </w:rPr>
              <w:t>(2024)</w:t>
            </w:r>
          </w:p>
        </w:tc>
        <w:tc>
          <w:tcPr>
            <w:tcW w:w="1016" w:type="pct"/>
            <w:vAlign w:val="center"/>
          </w:tcPr>
          <w:p w14:paraId="5F871619"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623" w:type="pct"/>
            <w:vAlign w:val="center"/>
          </w:tcPr>
          <w:p w14:paraId="5C67B57E"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GUS</w:t>
            </w:r>
          </w:p>
        </w:tc>
      </w:tr>
      <w:tr w:rsidR="00C911DD" w:rsidRPr="007E08F7" w14:paraId="7E3EC44F" w14:textId="77777777" w:rsidTr="009F21B4">
        <w:tc>
          <w:tcPr>
            <w:tcW w:w="2500" w:type="pct"/>
            <w:vAlign w:val="center"/>
          </w:tcPr>
          <w:p w14:paraId="53E30B8F" w14:textId="69F95DDF"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Odsetek ludności korzystającej z</w:t>
            </w:r>
            <w:r w:rsidR="009F21B4" w:rsidRPr="007E08F7">
              <w:rPr>
                <w:rFonts w:eastAsia="Aptos" w:cs="Calibri"/>
                <w:kern w:val="2"/>
                <w14:ligatures w14:val="standardContextual"/>
              </w:rPr>
              <w:t> </w:t>
            </w:r>
            <w:r w:rsidRPr="007E08F7">
              <w:rPr>
                <w:rFonts w:eastAsia="Aptos" w:cs="Calibri"/>
                <w:kern w:val="2"/>
                <w14:ligatures w14:val="standardContextual"/>
              </w:rPr>
              <w:t>oczyszczalni</w:t>
            </w:r>
            <w:r w:rsidR="009F21B4" w:rsidRPr="007E08F7">
              <w:rPr>
                <w:rFonts w:eastAsia="Aptos" w:cs="Calibri"/>
                <w:kern w:val="2"/>
                <w14:ligatures w14:val="standardContextual"/>
              </w:rPr>
              <w:t> </w:t>
            </w:r>
            <w:r w:rsidRPr="007E08F7">
              <w:rPr>
                <w:rFonts w:eastAsia="Aptos" w:cs="Calibri"/>
                <w:kern w:val="2"/>
                <w14:ligatures w14:val="standardContextual"/>
              </w:rPr>
              <w:t>ścieków</w:t>
            </w:r>
          </w:p>
        </w:tc>
        <w:tc>
          <w:tcPr>
            <w:tcW w:w="861" w:type="pct"/>
            <w:vAlign w:val="center"/>
          </w:tcPr>
          <w:p w14:paraId="483F60F0"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83,8%</w:t>
            </w:r>
            <w:r w:rsidRPr="007E08F7">
              <w:rPr>
                <w:rFonts w:eastAsia="Aptos" w:cs="Calibri"/>
                <w:kern w:val="2"/>
                <w14:ligatures w14:val="standardContextual"/>
              </w:rPr>
              <w:br/>
              <w:t>(2025)</w:t>
            </w:r>
          </w:p>
        </w:tc>
        <w:tc>
          <w:tcPr>
            <w:tcW w:w="1016" w:type="pct"/>
            <w:vAlign w:val="center"/>
          </w:tcPr>
          <w:p w14:paraId="4276B7EC"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623" w:type="pct"/>
            <w:vAlign w:val="center"/>
          </w:tcPr>
          <w:p w14:paraId="5F7A9F51"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GUS</w:t>
            </w:r>
          </w:p>
        </w:tc>
      </w:tr>
      <w:tr w:rsidR="00C911DD" w:rsidRPr="007E08F7" w14:paraId="0A7000E9" w14:textId="77777777" w:rsidTr="009F21B4">
        <w:tc>
          <w:tcPr>
            <w:tcW w:w="2500" w:type="pct"/>
            <w:vAlign w:val="center"/>
          </w:tcPr>
          <w:p w14:paraId="48FDFB64" w14:textId="0B562C8F"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Udział obszarów prawnie chronionych w</w:t>
            </w:r>
            <w:r w:rsidR="009F21B4" w:rsidRPr="007E08F7">
              <w:rPr>
                <w:rFonts w:eastAsia="Aptos" w:cs="Calibri"/>
                <w:kern w:val="2"/>
                <w14:ligatures w14:val="standardContextual"/>
              </w:rPr>
              <w:t> </w:t>
            </w:r>
            <w:r w:rsidRPr="007E08F7">
              <w:rPr>
                <w:rFonts w:eastAsia="Aptos" w:cs="Calibri"/>
                <w:kern w:val="2"/>
                <w14:ligatures w14:val="standardContextual"/>
              </w:rPr>
              <w:t>powierzchni ogółem</w:t>
            </w:r>
          </w:p>
        </w:tc>
        <w:tc>
          <w:tcPr>
            <w:tcW w:w="861" w:type="pct"/>
            <w:vAlign w:val="center"/>
          </w:tcPr>
          <w:p w14:paraId="52A20C5C" w14:textId="77777777" w:rsidR="00C911DD" w:rsidRPr="007E08F7" w:rsidRDefault="00C911DD" w:rsidP="009F21B4">
            <w:pPr>
              <w:spacing w:after="120" w:line="276" w:lineRule="auto"/>
              <w:rPr>
                <w:rFonts w:eastAsia="Aptos" w:cs="Calibri"/>
                <w:kern w:val="2"/>
                <w14:ligatures w14:val="standardContextual"/>
              </w:rPr>
            </w:pPr>
            <w:r w:rsidRPr="007E08F7">
              <w:rPr>
                <w:rFonts w:eastAsia="Times New Roman" w:cstheme="minorHAnsi"/>
                <w:bCs/>
                <w:kern w:val="2"/>
                <w:lang w:eastAsia="pl-PL"/>
                <w14:ligatures w14:val="standardContextual"/>
              </w:rPr>
              <w:t xml:space="preserve">31,2% </w:t>
            </w:r>
            <w:r w:rsidRPr="007E08F7">
              <w:rPr>
                <w:rFonts w:eastAsia="Aptos" w:cs="Calibri"/>
                <w:kern w:val="2"/>
                <w14:ligatures w14:val="standardContextual"/>
              </w:rPr>
              <w:br/>
              <w:t>(2025)</w:t>
            </w:r>
          </w:p>
        </w:tc>
        <w:tc>
          <w:tcPr>
            <w:tcW w:w="1016" w:type="pct"/>
            <w:vAlign w:val="center"/>
          </w:tcPr>
          <w:p w14:paraId="2DC107E1"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623" w:type="pct"/>
            <w:vAlign w:val="center"/>
          </w:tcPr>
          <w:p w14:paraId="61581023"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GUS</w:t>
            </w:r>
          </w:p>
        </w:tc>
      </w:tr>
      <w:tr w:rsidR="00C911DD" w:rsidRPr="007E08F7" w14:paraId="471B5A13" w14:textId="77777777" w:rsidTr="009F21B4">
        <w:tc>
          <w:tcPr>
            <w:tcW w:w="2500" w:type="pct"/>
            <w:vAlign w:val="center"/>
          </w:tcPr>
          <w:p w14:paraId="05DF973B" w14:textId="4A9AB117" w:rsidR="00C911DD" w:rsidRPr="007E08F7" w:rsidRDefault="00C911DD" w:rsidP="009F21B4">
            <w:pPr>
              <w:spacing w:after="120" w:line="276" w:lineRule="auto"/>
              <w:rPr>
                <w:rFonts w:eastAsia="Aptos"/>
              </w:rPr>
            </w:pPr>
            <w:r w:rsidRPr="007E08F7">
              <w:rPr>
                <w:rFonts w:eastAsia="Aptos"/>
              </w:rPr>
              <w:t>Powierzchnia terenów zieleni na</w:t>
            </w:r>
            <w:r w:rsidR="009F21B4" w:rsidRPr="007E08F7">
              <w:rPr>
                <w:rFonts w:eastAsia="Aptos"/>
              </w:rPr>
              <w:t> </w:t>
            </w:r>
            <w:r w:rsidRPr="007E08F7">
              <w:rPr>
                <w:rFonts w:eastAsia="Aptos"/>
              </w:rPr>
              <w:t>1</w:t>
            </w:r>
            <w:r w:rsidR="009F21B4" w:rsidRPr="007E08F7">
              <w:rPr>
                <w:rFonts w:eastAsia="Aptos"/>
              </w:rPr>
              <w:t> </w:t>
            </w:r>
            <w:r w:rsidRPr="007E08F7">
              <w:rPr>
                <w:rFonts w:eastAsia="Aptos"/>
              </w:rPr>
              <w:t>mieszkańca</w:t>
            </w:r>
          </w:p>
        </w:tc>
        <w:tc>
          <w:tcPr>
            <w:tcW w:w="861" w:type="pct"/>
            <w:vAlign w:val="center"/>
          </w:tcPr>
          <w:p w14:paraId="7CF78845" w14:textId="30AF38C1" w:rsidR="00C911DD" w:rsidRPr="007E08F7" w:rsidRDefault="00C911DD" w:rsidP="009F21B4">
            <w:pPr>
              <w:spacing w:after="120" w:line="276" w:lineRule="auto"/>
              <w:rPr>
                <w:rFonts w:eastAsia="Times New Roman" w:cstheme="minorHAnsi"/>
                <w:bCs/>
                <w:lang w:eastAsia="pl-PL"/>
              </w:rPr>
            </w:pPr>
            <w:r w:rsidRPr="007E08F7">
              <w:rPr>
                <w:rFonts w:eastAsia="Times New Roman" w:cstheme="minorHAnsi"/>
                <w:bCs/>
                <w:lang w:eastAsia="pl-PL"/>
              </w:rPr>
              <w:t>39,6 m²</w:t>
            </w:r>
            <w:r w:rsidR="009F21B4" w:rsidRPr="007E08F7">
              <w:rPr>
                <w:rFonts w:eastAsia="Times New Roman" w:cstheme="minorHAnsi"/>
                <w:bCs/>
                <w:lang w:eastAsia="pl-PL"/>
              </w:rPr>
              <w:br/>
            </w:r>
            <w:r w:rsidRPr="007E08F7">
              <w:rPr>
                <w:rFonts w:eastAsia="Times New Roman" w:cstheme="minorHAnsi"/>
                <w:bCs/>
                <w:lang w:eastAsia="pl-PL"/>
              </w:rPr>
              <w:t>(2024)</w:t>
            </w:r>
          </w:p>
        </w:tc>
        <w:tc>
          <w:tcPr>
            <w:tcW w:w="1016" w:type="pct"/>
            <w:vAlign w:val="center"/>
          </w:tcPr>
          <w:p w14:paraId="3F33B7A0" w14:textId="77777777" w:rsidR="00C911DD" w:rsidRPr="007E08F7" w:rsidRDefault="00C911DD" w:rsidP="009F21B4">
            <w:pPr>
              <w:spacing w:after="120" w:line="276" w:lineRule="auto"/>
              <w:rPr>
                <w:rFonts w:eastAsia="Aptos"/>
              </w:rPr>
            </w:pPr>
            <w:r w:rsidRPr="007E08F7">
              <w:rPr>
                <w:rFonts w:eastAsia="Aptos" w:cs="Calibri"/>
                <w:kern w:val="2"/>
                <w14:ligatures w14:val="standardContextual"/>
              </w:rPr>
              <w:t>do uzupełnienia</w:t>
            </w:r>
          </w:p>
        </w:tc>
        <w:tc>
          <w:tcPr>
            <w:tcW w:w="623" w:type="pct"/>
            <w:vAlign w:val="center"/>
          </w:tcPr>
          <w:p w14:paraId="3E185901" w14:textId="77777777" w:rsidR="00C911DD" w:rsidRPr="007E08F7" w:rsidRDefault="00C911DD" w:rsidP="009F21B4">
            <w:pPr>
              <w:spacing w:after="120" w:line="276" w:lineRule="auto"/>
              <w:rPr>
                <w:rFonts w:eastAsia="Aptos"/>
              </w:rPr>
            </w:pPr>
            <w:r w:rsidRPr="007E08F7">
              <w:rPr>
                <w:rFonts w:eastAsia="Aptos" w:cs="Calibri"/>
                <w:kern w:val="2"/>
                <w14:ligatures w14:val="standardContextual"/>
              </w:rPr>
              <w:t>GUS</w:t>
            </w:r>
          </w:p>
        </w:tc>
      </w:tr>
    </w:tbl>
    <w:p w14:paraId="5956DFF2" w14:textId="5AF6C889" w:rsidR="00B25589" w:rsidRPr="007E08F7" w:rsidRDefault="00B25589" w:rsidP="009F21B4">
      <w:pPr>
        <w:pStyle w:val="Nagwek4"/>
        <w:spacing w:before="360"/>
        <w:rPr>
          <w:rFonts w:eastAsia="Calibri"/>
          <w:iCs w:val="0"/>
        </w:rPr>
      </w:pPr>
      <w:r w:rsidRPr="007E08F7">
        <w:rPr>
          <w:rFonts w:eastAsia="Calibri"/>
          <w:iCs w:val="0"/>
        </w:rPr>
        <w:t>Postulaty wobec władz centralnych</w:t>
      </w:r>
      <w:r w:rsidR="00EF7D8D" w:rsidRPr="007E08F7">
        <w:rPr>
          <w:iCs w:val="0"/>
        </w:rPr>
        <w:t xml:space="preserve"> CO 2.3</w:t>
      </w:r>
    </w:p>
    <w:p w14:paraId="61C8E2F8" w14:textId="77777777" w:rsidR="00B25589" w:rsidRPr="007E08F7" w:rsidRDefault="00B25589">
      <w:pPr>
        <w:numPr>
          <w:ilvl w:val="0"/>
          <w:numId w:val="53"/>
        </w:numPr>
        <w:spacing w:before="120" w:after="120" w:line="288" w:lineRule="auto"/>
        <w:rPr>
          <w:rFonts w:cstheme="minorHAnsi"/>
        </w:rPr>
      </w:pPr>
      <w:r w:rsidRPr="007E08F7">
        <w:rPr>
          <w:rFonts w:cstheme="minorHAnsi"/>
        </w:rPr>
        <w:t>Kontynuacja realizacji programu kompleksowego zabezpieczenia przeciwpowodziowego Żuław.</w:t>
      </w:r>
    </w:p>
    <w:p w14:paraId="13BBC5FA" w14:textId="77777777" w:rsidR="00B25589" w:rsidRPr="007E08F7" w:rsidRDefault="00B25589">
      <w:pPr>
        <w:numPr>
          <w:ilvl w:val="0"/>
          <w:numId w:val="53"/>
        </w:numPr>
        <w:spacing w:before="120" w:after="120" w:line="288" w:lineRule="auto"/>
        <w:rPr>
          <w:rFonts w:cstheme="minorHAnsi"/>
        </w:rPr>
      </w:pPr>
      <w:r w:rsidRPr="007E08F7">
        <w:rPr>
          <w:rFonts w:cstheme="minorHAnsi"/>
        </w:rPr>
        <w:t>Wzmocnienie działań na rzecz adaptacji polskiego wybrzeża i obszarów nadmorskich do zmian klimatu, w szczególności w związku ze wzrostem poziomu morza, nasileniem ekstremalnych zjawisk pogodowych oraz erozją wybrzeża.</w:t>
      </w:r>
    </w:p>
    <w:p w14:paraId="1E10DDE6" w14:textId="77777777" w:rsidR="00B25589" w:rsidRPr="007E08F7" w:rsidRDefault="00B25589">
      <w:pPr>
        <w:numPr>
          <w:ilvl w:val="0"/>
          <w:numId w:val="53"/>
        </w:numPr>
        <w:spacing w:before="120" w:after="120" w:line="288" w:lineRule="auto"/>
        <w:rPr>
          <w:rFonts w:cstheme="minorHAnsi"/>
        </w:rPr>
      </w:pPr>
      <w:r w:rsidRPr="007E08F7">
        <w:rPr>
          <w:rFonts w:cstheme="minorHAnsi"/>
        </w:rPr>
        <w:t>Zwiększenie ochrony i odbudowy ekosystemów Morza Bałtyckiego, w tym siedlisk przybrzeżnych, mokradeł i obszarów cennych przyrodniczo, które zwiększają odporność ekosystemów na skutki zmian klimatu.</w:t>
      </w:r>
    </w:p>
    <w:p w14:paraId="4DDCF072" w14:textId="1615E080" w:rsidR="001A619C" w:rsidRPr="007E08F7" w:rsidRDefault="00B25589">
      <w:pPr>
        <w:numPr>
          <w:ilvl w:val="0"/>
          <w:numId w:val="53"/>
        </w:numPr>
        <w:spacing w:before="120" w:after="120" w:line="288" w:lineRule="auto"/>
        <w:rPr>
          <w:rFonts w:cstheme="minorHAnsi"/>
        </w:rPr>
      </w:pPr>
      <w:r w:rsidRPr="007E08F7">
        <w:rPr>
          <w:rFonts w:cstheme="minorHAnsi"/>
        </w:rPr>
        <w:t>Usunięcie z dna polskich obszarów morskich pozostałości broni i amunicji z okresu II</w:t>
      </w:r>
      <w:r w:rsidR="0076110A" w:rsidRPr="007E08F7">
        <w:rPr>
          <w:rFonts w:cstheme="minorHAnsi"/>
        </w:rPr>
        <w:t> </w:t>
      </w:r>
      <w:r w:rsidR="002455C8" w:rsidRPr="007E08F7">
        <w:rPr>
          <w:rFonts w:cstheme="minorHAnsi"/>
        </w:rPr>
        <w:t>W</w:t>
      </w:r>
      <w:r w:rsidRPr="007E08F7">
        <w:rPr>
          <w:rFonts w:cstheme="minorHAnsi"/>
        </w:rPr>
        <w:t xml:space="preserve">ojny </w:t>
      </w:r>
      <w:r w:rsidR="002455C8" w:rsidRPr="007E08F7">
        <w:rPr>
          <w:rFonts w:cstheme="minorHAnsi"/>
        </w:rPr>
        <w:t>Ś</w:t>
      </w:r>
      <w:r w:rsidRPr="007E08F7">
        <w:rPr>
          <w:rFonts w:cstheme="minorHAnsi"/>
        </w:rPr>
        <w:t>wiatowej oraz paliw i innych substancji niebezpiecznych z zatopionych statków</w:t>
      </w:r>
      <w:r w:rsidR="001A619C" w:rsidRPr="007E08F7">
        <w:rPr>
          <w:rFonts w:cstheme="minorHAnsi"/>
        </w:rPr>
        <w:t>.</w:t>
      </w:r>
    </w:p>
    <w:p w14:paraId="3001373B" w14:textId="77777777" w:rsidR="001A619C" w:rsidRPr="007E08F7" w:rsidRDefault="001A619C">
      <w:pPr>
        <w:numPr>
          <w:ilvl w:val="0"/>
          <w:numId w:val="44"/>
        </w:numPr>
        <w:spacing w:before="120" w:after="120" w:line="288" w:lineRule="auto"/>
        <w:contextualSpacing/>
        <w:rPr>
          <w:rFonts w:cstheme="minorHAnsi"/>
        </w:rPr>
      </w:pPr>
      <w:r w:rsidRPr="007E08F7">
        <w:rPr>
          <w:rFonts w:cstheme="minorHAnsi"/>
          <w:color w:val="EE0000"/>
        </w:rPr>
        <w:br w:type="page"/>
      </w:r>
    </w:p>
    <w:p w14:paraId="39B0A8E7" w14:textId="77777777" w:rsidR="001A619C" w:rsidRPr="007E08F7" w:rsidRDefault="001A619C" w:rsidP="002F715A">
      <w:pPr>
        <w:pStyle w:val="Nagwek3"/>
      </w:pPr>
      <w:bookmarkStart w:id="60" w:name="_Toc239772087"/>
      <w:r w:rsidRPr="007E08F7">
        <w:lastRenderedPageBreak/>
        <w:t>Cel operacyjny 2.4. Kapitał społeczny</w:t>
      </w:r>
      <w:bookmarkEnd w:id="60"/>
    </w:p>
    <w:p w14:paraId="494C70EC" w14:textId="3FC31A40" w:rsidR="001A619C" w:rsidRPr="007E08F7" w:rsidRDefault="001A619C" w:rsidP="00456332">
      <w:pPr>
        <w:pStyle w:val="Nagwek4"/>
        <w:rPr>
          <w:iCs w:val="0"/>
        </w:rPr>
      </w:pPr>
      <w:r w:rsidRPr="007E08F7">
        <w:rPr>
          <w:iCs w:val="0"/>
        </w:rPr>
        <w:t>Przesłanki realizacji Celu operacyjnego</w:t>
      </w:r>
      <w:r w:rsidR="00EF7D8D" w:rsidRPr="007E08F7">
        <w:rPr>
          <w:iCs w:val="0"/>
        </w:rPr>
        <w:t xml:space="preserve"> 2.4</w:t>
      </w:r>
    </w:p>
    <w:p w14:paraId="58D72A07" w14:textId="75F25D05" w:rsidR="00602A10" w:rsidRPr="007E08F7" w:rsidRDefault="00602A10" w:rsidP="00602A10">
      <w:pPr>
        <w:spacing w:before="120" w:after="120" w:line="288" w:lineRule="auto"/>
        <w:rPr>
          <w:rFonts w:eastAsia="Aptos"/>
        </w:rPr>
      </w:pPr>
      <w:r w:rsidRPr="007E08F7">
        <w:rPr>
          <w:rFonts w:eastAsia="Aptos"/>
        </w:rPr>
        <w:t>Województwo pomorskie charakteryzuje różnorodność, przede wszystkim w wymiarze kulturowym i etnicznym. Bazą do budowania kapitału społecznego powinna być otwartość, aktywność społeczna i kulturalna, postawy wolnościowe i samorządowe, a</w:t>
      </w:r>
      <w:r w:rsidR="0076110A" w:rsidRPr="007E08F7">
        <w:rPr>
          <w:rFonts w:eastAsia="Aptos"/>
        </w:rPr>
        <w:t> </w:t>
      </w:r>
      <w:r w:rsidRPr="007E08F7">
        <w:rPr>
          <w:rFonts w:eastAsia="Aptos"/>
        </w:rPr>
        <w:t xml:space="preserve">także tożsamość czerpiąca z wielokulturowości oraz dziedzictwa m.in. Kaszub, Kociewia, Powiśla, Żuław i Ziemi Słupskiej. </w:t>
      </w:r>
    </w:p>
    <w:p w14:paraId="51742443" w14:textId="77777777" w:rsidR="00602A10" w:rsidRPr="007E08F7" w:rsidRDefault="00602A10" w:rsidP="00602A10">
      <w:pPr>
        <w:spacing w:before="120" w:after="120" w:line="288" w:lineRule="auto"/>
        <w:rPr>
          <w:rFonts w:eastAsia="Aptos"/>
        </w:rPr>
      </w:pPr>
      <w:r w:rsidRPr="007E08F7">
        <w:rPr>
          <w:rFonts w:eastAsia="Aptos"/>
        </w:rPr>
        <w:t>Jednocześnie, wciąż niesatysfakcjonujący jest poziom udziału mieszkańców w kulturze oraz długofalowej aktywności społecznej. Instytucje kultury nadal w zbyt małym stopniu włączają się w działania aktywizujące na rzecz społeczności lokalnych. Biblioteki publiczne oraz domy kultury w regionie, z założenia miejsca bezpiecznej przestrzeni oraz miejsca spotkań i dialogu, nie realizują w pełni swoich celów w tym zakresie.</w:t>
      </w:r>
    </w:p>
    <w:p w14:paraId="6F9FF062" w14:textId="77777777" w:rsidR="00602A10" w:rsidRPr="007E08F7" w:rsidRDefault="00602A10" w:rsidP="00602A10">
      <w:pPr>
        <w:spacing w:before="120" w:after="120" w:line="288" w:lineRule="auto"/>
        <w:rPr>
          <w:rFonts w:eastAsia="Aptos"/>
        </w:rPr>
      </w:pPr>
      <w:r w:rsidRPr="007E08F7">
        <w:rPr>
          <w:rFonts w:eastAsia="Aptos"/>
        </w:rPr>
        <w:t>Pomimo systematycznego wzmacniania roli organizacji pozarządowych, niedostateczny jest ich potencjał do realizacji długofalowych działań społecznych i świadczenia usług na rzecz mieszkańców, w tym na potrzeby współdziałania w sytuacjach kryzysowych.</w:t>
      </w:r>
    </w:p>
    <w:p w14:paraId="65D5DBD5" w14:textId="4E778EFA" w:rsidR="00602A10" w:rsidRPr="007E08F7" w:rsidRDefault="00602A10" w:rsidP="00602A10">
      <w:pPr>
        <w:spacing w:before="120" w:after="120" w:line="288" w:lineRule="auto"/>
        <w:rPr>
          <w:rFonts w:eastAsia="Aptos"/>
        </w:rPr>
      </w:pPr>
      <w:r w:rsidRPr="007E08F7">
        <w:rPr>
          <w:rFonts w:eastAsia="Aptos"/>
        </w:rPr>
        <w:t>Konieczne są zatem działania służące wzmacnianiu roli kultury w zakresie budowania kapitału społecznego na poziomie lokalnym i regionalnym. Kontynuacji wymagają także inicjatywy wzmacniające potencjał sektora pozarządowego do współdziałania w</w:t>
      </w:r>
      <w:r w:rsidR="002455C8" w:rsidRPr="007E08F7">
        <w:rPr>
          <w:rFonts w:eastAsia="Aptos"/>
        </w:rPr>
        <w:t> </w:t>
      </w:r>
      <w:r w:rsidRPr="007E08F7">
        <w:rPr>
          <w:rFonts w:eastAsia="Aptos"/>
        </w:rPr>
        <w:t>realizacji zadań publicznych.</w:t>
      </w:r>
    </w:p>
    <w:p w14:paraId="585F5A83" w14:textId="2BDA4F1B" w:rsidR="00602A10" w:rsidRPr="007E08F7" w:rsidRDefault="00602A10" w:rsidP="00456332">
      <w:pPr>
        <w:pStyle w:val="Nagwek4"/>
        <w:rPr>
          <w:iCs w:val="0"/>
        </w:rPr>
      </w:pPr>
      <w:r w:rsidRPr="007E08F7">
        <w:rPr>
          <w:iCs w:val="0"/>
        </w:rPr>
        <w:t xml:space="preserve">Ukierunkowanie tematyczne </w:t>
      </w:r>
      <w:r w:rsidR="00EF7D8D" w:rsidRPr="007E08F7">
        <w:rPr>
          <w:iCs w:val="0"/>
        </w:rPr>
        <w:t xml:space="preserve">CO 2.4 </w:t>
      </w:r>
      <w:r w:rsidR="00EF7D8D" w:rsidRPr="007E08F7">
        <w:rPr>
          <w:iCs w:val="0"/>
        </w:rPr>
        <w:br/>
      </w:r>
      <w:r w:rsidRPr="007E08F7">
        <w:rPr>
          <w:iCs w:val="0"/>
        </w:rPr>
        <w:t>(kluczowe kierunki interwencji i działania)</w:t>
      </w:r>
    </w:p>
    <w:p w14:paraId="5D202F27" w14:textId="47FE7C2D" w:rsidR="00602A10" w:rsidRPr="007E08F7" w:rsidRDefault="00602A10" w:rsidP="00602A10">
      <w:pPr>
        <w:spacing w:before="120" w:after="120" w:line="288" w:lineRule="auto"/>
      </w:pPr>
      <w:r w:rsidRPr="007E08F7">
        <w:rPr>
          <w:b/>
          <w:bCs/>
        </w:rPr>
        <w:t>2.4.1</w:t>
      </w:r>
      <w:r w:rsidRPr="007E08F7">
        <w:t xml:space="preserve"> </w:t>
      </w:r>
      <w:r w:rsidRPr="007E08F7">
        <w:br/>
        <w:t xml:space="preserve">Rozwój społecznych funkcji kultury, w tym </w:t>
      </w:r>
      <w:r w:rsidRPr="007E08F7">
        <w:rPr>
          <w:rFonts w:eastAsia="Aptos"/>
        </w:rPr>
        <w:t>podnoszenie poziomu kompetencji kadr kultury oraz upowszechnienie czytelnictwa i dziedzictwa kulturowego materialnego i</w:t>
      </w:r>
      <w:r w:rsidR="002455C8" w:rsidRPr="007E08F7">
        <w:rPr>
          <w:rFonts w:eastAsia="Aptos"/>
        </w:rPr>
        <w:t> </w:t>
      </w:r>
      <w:r w:rsidRPr="007E08F7">
        <w:rPr>
          <w:rFonts w:eastAsia="Aptos"/>
        </w:rPr>
        <w:t>niematerialnego.</w:t>
      </w:r>
    </w:p>
    <w:p w14:paraId="36BDC3A9" w14:textId="77777777" w:rsidR="00602A10" w:rsidRPr="007E08F7" w:rsidRDefault="00602A10" w:rsidP="00602A10">
      <w:pPr>
        <w:spacing w:before="120" w:after="120" w:line="288" w:lineRule="auto"/>
      </w:pPr>
      <w:r w:rsidRPr="007E08F7">
        <w:rPr>
          <w:b/>
          <w:bCs/>
        </w:rPr>
        <w:t>2.4.2</w:t>
      </w:r>
      <w:r w:rsidRPr="007E08F7">
        <w:br/>
        <w:t>Wzmocnienie potencjału sektora pozarządowego ukierunkowanego na realizację usług na rzecz mieszkańców.</w:t>
      </w:r>
    </w:p>
    <w:p w14:paraId="2907F1BA" w14:textId="77777777" w:rsidR="00602A10" w:rsidRPr="007E08F7" w:rsidRDefault="00602A10" w:rsidP="00602A10">
      <w:pPr>
        <w:spacing w:before="120" w:after="120" w:line="288" w:lineRule="auto"/>
      </w:pPr>
      <w:r w:rsidRPr="007E08F7">
        <w:rPr>
          <w:b/>
          <w:bCs/>
        </w:rPr>
        <w:t>2.4.3</w:t>
      </w:r>
      <w:r w:rsidRPr="007E08F7">
        <w:br/>
        <w:t>Rozwój postaw obywatelskich, edukacji regionalnej, wolontariatu oraz wpieranie języka regionalnego (kaszubskiego).</w:t>
      </w:r>
    </w:p>
    <w:p w14:paraId="30D1436A" w14:textId="7E3B6763" w:rsidR="00602A10" w:rsidRPr="007E08F7" w:rsidRDefault="00602A10" w:rsidP="00456332">
      <w:pPr>
        <w:pStyle w:val="Nagwek4"/>
        <w:rPr>
          <w:iCs w:val="0"/>
        </w:rPr>
      </w:pPr>
      <w:r w:rsidRPr="007E08F7">
        <w:rPr>
          <w:iCs w:val="0"/>
        </w:rPr>
        <w:t>Ukierunkowanie terytorialne</w:t>
      </w:r>
      <w:r w:rsidR="00EF7D8D" w:rsidRPr="007E08F7">
        <w:rPr>
          <w:iCs w:val="0"/>
        </w:rPr>
        <w:t xml:space="preserve"> CO 2.4</w:t>
      </w:r>
    </w:p>
    <w:p w14:paraId="628A8651" w14:textId="6D1ABE36" w:rsidR="002F715A" w:rsidRPr="007E08F7" w:rsidRDefault="00602A10" w:rsidP="00602A10">
      <w:pPr>
        <w:spacing w:before="120" w:after="120" w:line="288" w:lineRule="auto"/>
        <w:rPr>
          <w:rFonts w:cstheme="minorHAnsi"/>
        </w:rPr>
      </w:pPr>
      <w:r w:rsidRPr="007E08F7">
        <w:rPr>
          <w:rFonts w:cstheme="minorHAnsi"/>
        </w:rPr>
        <w:t>Całe województwo.</w:t>
      </w:r>
    </w:p>
    <w:p w14:paraId="3600102F" w14:textId="77777777" w:rsidR="002F715A" w:rsidRPr="007E08F7" w:rsidRDefault="002F715A">
      <w:pPr>
        <w:rPr>
          <w:rFonts w:cstheme="minorHAnsi"/>
        </w:rPr>
      </w:pPr>
      <w:r w:rsidRPr="007E08F7">
        <w:rPr>
          <w:rFonts w:cstheme="minorHAnsi"/>
        </w:rPr>
        <w:br w:type="page"/>
      </w:r>
    </w:p>
    <w:p w14:paraId="0576CEB1" w14:textId="65BCEAB6" w:rsidR="00602A10" w:rsidRPr="007E08F7" w:rsidRDefault="00602A10" w:rsidP="00456332">
      <w:pPr>
        <w:pStyle w:val="Nagwek4"/>
        <w:rPr>
          <w:iCs w:val="0"/>
        </w:rPr>
      </w:pPr>
      <w:r w:rsidRPr="007E08F7">
        <w:rPr>
          <w:iCs w:val="0"/>
        </w:rPr>
        <w:lastRenderedPageBreak/>
        <w:t>Oczekiwane rezultaty</w:t>
      </w:r>
      <w:r w:rsidR="00EF7D8D" w:rsidRPr="007E08F7">
        <w:rPr>
          <w:iCs w:val="0"/>
        </w:rPr>
        <w:t xml:space="preserve"> CO 2.4</w:t>
      </w:r>
    </w:p>
    <w:p w14:paraId="39E41B8A" w14:textId="77777777" w:rsidR="00602A10" w:rsidRPr="007E08F7" w:rsidRDefault="00602A10">
      <w:pPr>
        <w:numPr>
          <w:ilvl w:val="0"/>
          <w:numId w:val="31"/>
        </w:numPr>
        <w:spacing w:before="120" w:after="120" w:line="288" w:lineRule="auto"/>
        <w:rPr>
          <w:rFonts w:cstheme="minorHAnsi"/>
        </w:rPr>
      </w:pPr>
      <w:r w:rsidRPr="007E08F7">
        <w:rPr>
          <w:rFonts w:cstheme="minorHAnsi"/>
        </w:rPr>
        <w:t>Wzmocnienie postaw obywatelskich i wzrost uczestnictwa mieszkańców w kulturze.</w:t>
      </w:r>
    </w:p>
    <w:p w14:paraId="7F0162A8" w14:textId="77777777" w:rsidR="00602A10" w:rsidRPr="007E08F7" w:rsidRDefault="00602A10">
      <w:pPr>
        <w:numPr>
          <w:ilvl w:val="0"/>
          <w:numId w:val="31"/>
        </w:numPr>
        <w:spacing w:before="120" w:after="120" w:line="288" w:lineRule="auto"/>
        <w:rPr>
          <w:rFonts w:cstheme="minorHAnsi"/>
        </w:rPr>
      </w:pPr>
      <w:r w:rsidRPr="007E08F7">
        <w:rPr>
          <w:rFonts w:cstheme="minorHAnsi"/>
        </w:rPr>
        <w:t>Poszerzenie oferty sektora kultury służącej aktywizacji społecznej.</w:t>
      </w:r>
    </w:p>
    <w:p w14:paraId="20BAAC5B" w14:textId="0EE2184C" w:rsidR="000B0E85" w:rsidRPr="007E08F7" w:rsidRDefault="00602A10">
      <w:pPr>
        <w:numPr>
          <w:ilvl w:val="0"/>
          <w:numId w:val="31"/>
        </w:numPr>
        <w:spacing w:before="120" w:after="120" w:line="288" w:lineRule="auto"/>
        <w:rPr>
          <w:rFonts w:cstheme="minorHAnsi"/>
        </w:rPr>
      </w:pPr>
      <w:r w:rsidRPr="007E08F7">
        <w:rPr>
          <w:rFonts w:cstheme="minorHAnsi"/>
        </w:rPr>
        <w:t>Wzmocnienie potencjału organizacji pozarządowych jako realizatora usług dla mieszkańców.</w:t>
      </w:r>
    </w:p>
    <w:p w14:paraId="61DDA446" w14:textId="61D8731C" w:rsidR="000C0538" w:rsidRPr="007E08F7" w:rsidRDefault="000C0538" w:rsidP="009F21B4">
      <w:pPr>
        <w:pStyle w:val="Nagwek4"/>
        <w:spacing w:before="360"/>
        <w:rPr>
          <w:iCs w:val="0"/>
        </w:rPr>
      </w:pPr>
      <w:r w:rsidRPr="007E08F7">
        <w:rPr>
          <w:iCs w:val="0"/>
        </w:rPr>
        <w:t>Wskaźniki</w:t>
      </w:r>
      <w:r w:rsidR="00EF7D8D" w:rsidRPr="007E08F7">
        <w:rPr>
          <w:iCs w:val="0"/>
        </w:rPr>
        <w:t xml:space="preserve"> CO 2.4</w:t>
      </w:r>
    </w:p>
    <w:tbl>
      <w:tblPr>
        <w:tblStyle w:val="Tabela-Siatka9"/>
        <w:tblW w:w="5000" w:type="pct"/>
        <w:tblLook w:val="01E0" w:firstRow="1" w:lastRow="1" w:firstColumn="1" w:lastColumn="1" w:noHBand="0" w:noVBand="0"/>
      </w:tblPr>
      <w:tblGrid>
        <w:gridCol w:w="4247"/>
        <w:gridCol w:w="1396"/>
        <w:gridCol w:w="1932"/>
        <w:gridCol w:w="1487"/>
      </w:tblGrid>
      <w:tr w:rsidR="00C911DD" w:rsidRPr="007E08F7" w14:paraId="0E4E83C1" w14:textId="77777777" w:rsidTr="009F21B4">
        <w:trPr>
          <w:tblHeader/>
        </w:trPr>
        <w:tc>
          <w:tcPr>
            <w:tcW w:w="2344" w:type="pct"/>
            <w:tcBorders>
              <w:right w:val="single" w:sz="4" w:space="0" w:color="FFFFFF" w:themeColor="background1"/>
            </w:tcBorders>
            <w:shd w:val="clear" w:color="auto" w:fill="153D63" w:themeFill="text2" w:themeFillTint="E6"/>
            <w:vAlign w:val="center"/>
          </w:tcPr>
          <w:p w14:paraId="6F821309"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770" w:type="pct"/>
            <w:tcBorders>
              <w:left w:val="single" w:sz="4" w:space="0" w:color="FFFFFF" w:themeColor="background1"/>
              <w:right w:val="single" w:sz="4" w:space="0" w:color="FFFFFF" w:themeColor="background1"/>
            </w:tcBorders>
            <w:shd w:val="clear" w:color="auto" w:fill="153D63" w:themeFill="text2" w:themeFillTint="E6"/>
            <w:vAlign w:val="center"/>
          </w:tcPr>
          <w:p w14:paraId="6C212DF6" w14:textId="7EA52CC0"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bazowa</w:t>
            </w:r>
          </w:p>
        </w:tc>
        <w:tc>
          <w:tcPr>
            <w:tcW w:w="1066" w:type="pct"/>
            <w:tcBorders>
              <w:left w:val="single" w:sz="4" w:space="0" w:color="FFFFFF" w:themeColor="background1"/>
              <w:right w:val="single" w:sz="4" w:space="0" w:color="FFFFFF" w:themeColor="background1"/>
            </w:tcBorders>
            <w:shd w:val="clear" w:color="auto" w:fill="153D63" w:themeFill="text2" w:themeFillTint="E6"/>
            <w:vAlign w:val="center"/>
          </w:tcPr>
          <w:p w14:paraId="4FED3392"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820" w:type="pct"/>
            <w:tcBorders>
              <w:left w:val="single" w:sz="4" w:space="0" w:color="FFFFFF" w:themeColor="background1"/>
            </w:tcBorders>
            <w:shd w:val="clear" w:color="auto" w:fill="153D63" w:themeFill="text2" w:themeFillTint="E6"/>
            <w:vAlign w:val="center"/>
          </w:tcPr>
          <w:p w14:paraId="59E055F5" w14:textId="77777777" w:rsidR="00C911DD" w:rsidRPr="007E08F7" w:rsidRDefault="00C911DD"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C911DD" w:rsidRPr="007E08F7" w14:paraId="07DE70C4" w14:textId="77777777" w:rsidTr="009F21B4">
        <w:trPr>
          <w:trHeight w:val="350"/>
        </w:trPr>
        <w:tc>
          <w:tcPr>
            <w:tcW w:w="2344" w:type="pct"/>
            <w:vAlign w:val="center"/>
          </w:tcPr>
          <w:p w14:paraId="75213E3B" w14:textId="59EAECF2" w:rsidR="00C911DD" w:rsidRPr="007E08F7" w:rsidRDefault="00C911DD" w:rsidP="009F21B4">
            <w:pPr>
              <w:spacing w:after="120" w:line="276" w:lineRule="auto"/>
              <w:rPr>
                <w:rFonts w:eastAsia="Aptos" w:cs="Calibri"/>
                <w:bCs/>
                <w:kern w:val="2"/>
                <w14:ligatures w14:val="standardContextual"/>
              </w:rPr>
            </w:pPr>
            <w:r w:rsidRPr="007E08F7">
              <w:rPr>
                <w:rFonts w:eastAsia="Aptos" w:cs="Calibri"/>
                <w:kern w:val="2"/>
                <w14:ligatures w14:val="standardContextual"/>
              </w:rPr>
              <w:t>Liczba NGO aktywnych w regionie na</w:t>
            </w:r>
            <w:r w:rsidR="009F21B4" w:rsidRPr="007E08F7">
              <w:rPr>
                <w:rFonts w:eastAsia="Aptos" w:cs="Calibri"/>
                <w:kern w:val="2"/>
                <w14:ligatures w14:val="standardContextual"/>
              </w:rPr>
              <w:t> </w:t>
            </w:r>
            <w:r w:rsidRPr="007E08F7">
              <w:rPr>
                <w:rFonts w:eastAsia="Aptos" w:cs="Calibri"/>
                <w:kern w:val="2"/>
                <w14:ligatures w14:val="standardContextual"/>
              </w:rPr>
              <w:t>10 tys. mieszkańców</w:t>
            </w:r>
          </w:p>
        </w:tc>
        <w:tc>
          <w:tcPr>
            <w:tcW w:w="770" w:type="pct"/>
            <w:vAlign w:val="center"/>
          </w:tcPr>
          <w:p w14:paraId="175D4357"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2,7 </w:t>
            </w:r>
            <w:r w:rsidRPr="007E08F7">
              <w:rPr>
                <w:rFonts w:eastAsia="Aptos" w:cs="Calibri"/>
                <w:kern w:val="2"/>
                <w14:ligatures w14:val="standardContextual"/>
              </w:rPr>
              <w:br/>
              <w:t>(2024)</w:t>
            </w:r>
          </w:p>
        </w:tc>
        <w:tc>
          <w:tcPr>
            <w:tcW w:w="1066" w:type="pct"/>
            <w:vAlign w:val="center"/>
          </w:tcPr>
          <w:p w14:paraId="6FED1547"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20" w:type="pct"/>
            <w:vAlign w:val="center"/>
          </w:tcPr>
          <w:p w14:paraId="7556393B"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GUS</w:t>
            </w:r>
          </w:p>
        </w:tc>
      </w:tr>
      <w:tr w:rsidR="00C911DD" w:rsidRPr="007E08F7" w14:paraId="3E0A4DDD" w14:textId="77777777" w:rsidTr="009F21B4">
        <w:trPr>
          <w:trHeight w:val="350"/>
        </w:trPr>
        <w:tc>
          <w:tcPr>
            <w:tcW w:w="2344" w:type="pct"/>
            <w:vAlign w:val="center"/>
          </w:tcPr>
          <w:p w14:paraId="7B98CB11" w14:textId="64709579"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Liczba uczestników wydarzeń na</w:t>
            </w:r>
            <w:r w:rsidR="009F21B4" w:rsidRPr="007E08F7">
              <w:rPr>
                <w:rFonts w:eastAsia="Aptos" w:cs="Calibri"/>
                <w:kern w:val="2"/>
                <w14:ligatures w14:val="standardContextual"/>
              </w:rPr>
              <w:t> </w:t>
            </w:r>
            <w:r w:rsidRPr="007E08F7">
              <w:rPr>
                <w:rFonts w:eastAsia="Aptos" w:cs="Calibri"/>
                <w:kern w:val="2"/>
                <w14:ligatures w14:val="standardContextual"/>
              </w:rPr>
              <w:t>1000</w:t>
            </w:r>
            <w:r w:rsidR="009F21B4" w:rsidRPr="007E08F7">
              <w:rPr>
                <w:rFonts w:eastAsia="Aptos" w:cs="Calibri"/>
                <w:kern w:val="2"/>
                <w14:ligatures w14:val="standardContextual"/>
              </w:rPr>
              <w:t> </w:t>
            </w:r>
            <w:r w:rsidRPr="007E08F7">
              <w:rPr>
                <w:rFonts w:eastAsia="Aptos" w:cs="Calibri"/>
                <w:kern w:val="2"/>
                <w14:ligatures w14:val="standardContextual"/>
              </w:rPr>
              <w:t xml:space="preserve">ludności (centra, domy i ośrodki kultury, kluby i świetlice) </w:t>
            </w:r>
          </w:p>
        </w:tc>
        <w:tc>
          <w:tcPr>
            <w:tcW w:w="770" w:type="pct"/>
            <w:vAlign w:val="center"/>
          </w:tcPr>
          <w:p w14:paraId="2FB35066"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716,6 </w:t>
            </w:r>
            <w:r w:rsidRPr="007E08F7">
              <w:rPr>
                <w:rFonts w:eastAsia="Aptos" w:cs="Calibri"/>
                <w:kern w:val="2"/>
                <w14:ligatures w14:val="standardContextual"/>
              </w:rPr>
              <w:br/>
              <w:t>(2025)</w:t>
            </w:r>
          </w:p>
        </w:tc>
        <w:tc>
          <w:tcPr>
            <w:tcW w:w="1066" w:type="pct"/>
            <w:vAlign w:val="center"/>
          </w:tcPr>
          <w:p w14:paraId="0D203166"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20" w:type="pct"/>
            <w:vAlign w:val="center"/>
          </w:tcPr>
          <w:p w14:paraId="2713CF74"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GUS</w:t>
            </w:r>
          </w:p>
        </w:tc>
      </w:tr>
      <w:tr w:rsidR="00C911DD" w:rsidRPr="007E08F7" w14:paraId="1F8F82BB" w14:textId="77777777" w:rsidTr="009F21B4">
        <w:trPr>
          <w:trHeight w:val="350"/>
        </w:trPr>
        <w:tc>
          <w:tcPr>
            <w:tcW w:w="2344" w:type="pct"/>
            <w:vAlign w:val="center"/>
          </w:tcPr>
          <w:p w14:paraId="2C59DE05" w14:textId="77777777" w:rsidR="00C911DD" w:rsidRPr="007E08F7" w:rsidRDefault="00C911DD" w:rsidP="009F21B4">
            <w:pPr>
              <w:spacing w:after="120" w:line="276" w:lineRule="auto"/>
              <w:rPr>
                <w:rFonts w:eastAsia="Aptos" w:cs="Calibri"/>
                <w:bCs/>
                <w:kern w:val="2"/>
                <w14:ligatures w14:val="standardContextual"/>
              </w:rPr>
            </w:pPr>
            <w:r w:rsidRPr="007E08F7">
              <w:rPr>
                <w:rFonts w:eastAsia="Aptos" w:cs="Calibri"/>
                <w:bCs/>
                <w:kern w:val="2"/>
                <w14:ligatures w14:val="standardContextual"/>
              </w:rPr>
              <w:t>Odsetek NGO działających w zakresie budowania odporności społecznej</w:t>
            </w:r>
          </w:p>
        </w:tc>
        <w:tc>
          <w:tcPr>
            <w:tcW w:w="770" w:type="pct"/>
            <w:vAlign w:val="center"/>
          </w:tcPr>
          <w:p w14:paraId="0EA72B47"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32,6% </w:t>
            </w:r>
            <w:r w:rsidRPr="007E08F7">
              <w:rPr>
                <w:rFonts w:eastAsia="Aptos" w:cs="Calibri"/>
                <w:kern w:val="2"/>
                <w14:ligatures w14:val="standardContextual"/>
              </w:rPr>
              <w:br/>
              <w:t>(2024)</w:t>
            </w:r>
          </w:p>
        </w:tc>
        <w:tc>
          <w:tcPr>
            <w:tcW w:w="1066" w:type="pct"/>
            <w:vAlign w:val="center"/>
          </w:tcPr>
          <w:p w14:paraId="3E3404E1" w14:textId="77777777"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20" w:type="pct"/>
            <w:vAlign w:val="center"/>
          </w:tcPr>
          <w:p w14:paraId="6CAC0D84" w14:textId="508410CE" w:rsidR="00C911DD" w:rsidRPr="007E08F7" w:rsidRDefault="00C911DD" w:rsidP="009F21B4">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w:t>
            </w:r>
            <w:r w:rsidR="009F21B4" w:rsidRPr="007E08F7">
              <w:rPr>
                <w:rFonts w:eastAsia="Aptos" w:cs="Calibri"/>
                <w:kern w:val="2"/>
                <w14:ligatures w14:val="standardContextual"/>
              </w:rPr>
              <w:t> </w:t>
            </w:r>
            <w:r w:rsidRPr="007E08F7">
              <w:rPr>
                <w:rFonts w:eastAsia="Aptos" w:cs="Calibri"/>
                <w:kern w:val="2"/>
                <w14:ligatures w14:val="standardContextual"/>
              </w:rPr>
              <w:t>podstawie danych GUS</w:t>
            </w:r>
          </w:p>
        </w:tc>
      </w:tr>
    </w:tbl>
    <w:p w14:paraId="11096A96" w14:textId="3FB739A8" w:rsidR="008D1DE9" w:rsidRPr="007E08F7" w:rsidRDefault="00C34703" w:rsidP="00C34703">
      <w:pPr>
        <w:rPr>
          <w:rFonts w:cstheme="minorHAnsi"/>
        </w:rPr>
      </w:pPr>
      <w:r w:rsidRPr="007E08F7">
        <w:rPr>
          <w:rFonts w:cstheme="minorHAnsi"/>
        </w:rPr>
        <w:br w:type="page"/>
      </w:r>
    </w:p>
    <w:p w14:paraId="28DDBE45" w14:textId="55B3D5A5" w:rsidR="008D1DE9" w:rsidRPr="007E08F7" w:rsidRDefault="008D1DE9" w:rsidP="002774ED">
      <w:pPr>
        <w:pStyle w:val="Nagwek2"/>
      </w:pPr>
      <w:bookmarkStart w:id="61" w:name="_Toc239772088"/>
      <w:r w:rsidRPr="007E08F7">
        <w:lastRenderedPageBreak/>
        <w:t xml:space="preserve">Cel strategiczny 3. </w:t>
      </w:r>
      <w:r w:rsidR="00AD5F45" w:rsidRPr="007E08F7">
        <w:t>Wieloośrodkowe Pomorze</w:t>
      </w:r>
      <w:bookmarkEnd w:id="61"/>
      <w:r w:rsidR="00AD5F45" w:rsidRPr="007E08F7">
        <w:t xml:space="preserve"> </w:t>
      </w:r>
    </w:p>
    <w:p w14:paraId="41A266CD" w14:textId="79778BFE" w:rsidR="002C7A4A" w:rsidRPr="007E08F7" w:rsidRDefault="002C7A4A" w:rsidP="009F21B4">
      <w:pPr>
        <w:pStyle w:val="Nagwek3"/>
        <w:rPr>
          <w:rFonts w:eastAsia="Aptos"/>
        </w:rPr>
      </w:pPr>
      <w:bookmarkStart w:id="62" w:name="_Toc239772089"/>
      <w:r w:rsidRPr="007E08F7">
        <w:t>Przesłanki realizacji Celu strategicznego</w:t>
      </w:r>
      <w:r w:rsidR="00EF7D8D" w:rsidRPr="007E08F7">
        <w:t xml:space="preserve"> 3.</w:t>
      </w:r>
      <w:bookmarkEnd w:id="62"/>
    </w:p>
    <w:p w14:paraId="763964B7" w14:textId="4D020301" w:rsidR="00681DFE" w:rsidRPr="007E08F7" w:rsidRDefault="00681DFE" w:rsidP="00681DFE">
      <w:pPr>
        <w:spacing w:before="120" w:after="120" w:line="288" w:lineRule="auto"/>
        <w:rPr>
          <w:rFonts w:eastAsia="Aptos"/>
        </w:rPr>
      </w:pPr>
      <w:r w:rsidRPr="007E08F7">
        <w:rPr>
          <w:rFonts w:eastAsia="Aptos"/>
        </w:rPr>
        <w:t xml:space="preserve">Strategicznym celem województwa jest zbudowanie regionu, w którym poszczególne jego części – obszar metropolitalny, miasta oraz obszary wiejskie – będą zapewniać mieszkańcom dobre warunki życia oraz pełnić funkcje adekwatne do wielkości ośrodka. </w:t>
      </w:r>
    </w:p>
    <w:p w14:paraId="12D9C81B" w14:textId="62AB675B" w:rsidR="00681DFE" w:rsidRPr="007E08F7" w:rsidRDefault="00681DFE" w:rsidP="00681DFE">
      <w:pPr>
        <w:spacing w:before="120" w:after="120" w:line="288" w:lineRule="auto"/>
        <w:rPr>
          <w:rFonts w:eastAsia="Aptos"/>
        </w:rPr>
      </w:pPr>
      <w:r w:rsidRPr="007E08F7">
        <w:rPr>
          <w:rFonts w:eastAsia="Aptos"/>
        </w:rPr>
        <w:t>Kluczowym aspektem wieloośrodkowego rozwoju regionu jest konsolidacja obszaru metropolitalnego, którego krajowa i międzynarodowa pozycja decyduje o sile gospodarki województwa. Wzmocnienie marki tego obszaru wymaga, poza wsparciem funkcji gospodarczych, integracji oferty kulturalnej, sportowej, medycznej oraz edukacyjnej na</w:t>
      </w:r>
      <w:r w:rsidR="0080233A" w:rsidRPr="007E08F7">
        <w:rPr>
          <w:rFonts w:eastAsia="Aptos"/>
        </w:rPr>
        <w:t> </w:t>
      </w:r>
      <w:r w:rsidRPr="007E08F7">
        <w:rPr>
          <w:rFonts w:eastAsia="Aptos"/>
        </w:rPr>
        <w:t xml:space="preserve">poziomie wyższym. Podnoszenie rangi tych sektorów, wraz z integracją </w:t>
      </w:r>
      <w:r w:rsidR="00226C60" w:rsidRPr="007E08F7">
        <w:rPr>
          <w:rFonts w:eastAsia="Aptos"/>
        </w:rPr>
        <w:t xml:space="preserve">publicznego </w:t>
      </w:r>
      <w:r w:rsidRPr="007E08F7">
        <w:rPr>
          <w:rFonts w:eastAsia="Aptos"/>
        </w:rPr>
        <w:t>transportu</w:t>
      </w:r>
      <w:r w:rsidR="00226C60" w:rsidRPr="007E08F7">
        <w:rPr>
          <w:rFonts w:eastAsia="Aptos"/>
        </w:rPr>
        <w:t xml:space="preserve"> zbiorowego</w:t>
      </w:r>
      <w:r w:rsidRPr="007E08F7">
        <w:rPr>
          <w:rFonts w:eastAsia="Aptos"/>
        </w:rPr>
        <w:t>, wzmocni pozycję Pomorza i obszaru metropolitalnego w skali europejskiej i globalnej.</w:t>
      </w:r>
    </w:p>
    <w:p w14:paraId="47DE5E98" w14:textId="45F838CA" w:rsidR="00681DFE" w:rsidRPr="007E08F7" w:rsidRDefault="00681DFE" w:rsidP="00681DFE">
      <w:pPr>
        <w:spacing w:before="120" w:after="120" w:line="288" w:lineRule="auto"/>
        <w:rPr>
          <w:rFonts w:eastAsia="Aptos"/>
        </w:rPr>
      </w:pPr>
      <w:r w:rsidRPr="007E08F7">
        <w:rPr>
          <w:rFonts w:eastAsia="Aptos"/>
        </w:rPr>
        <w:t>Jednocześnie, w regionie postępuje polaryzacja prowadząca do odpływu mieszkańców z</w:t>
      </w:r>
      <w:r w:rsidR="002455C8" w:rsidRPr="007E08F7">
        <w:rPr>
          <w:rFonts w:eastAsia="Aptos"/>
        </w:rPr>
        <w:t> </w:t>
      </w:r>
      <w:r w:rsidRPr="007E08F7">
        <w:rPr>
          <w:rFonts w:eastAsia="Aptos"/>
        </w:rPr>
        <w:t xml:space="preserve">obszarów </w:t>
      </w:r>
      <w:proofErr w:type="spellStart"/>
      <w:r w:rsidRPr="007E08F7">
        <w:rPr>
          <w:rFonts w:eastAsia="Aptos"/>
        </w:rPr>
        <w:t>pozametropolitalnych</w:t>
      </w:r>
      <w:proofErr w:type="spellEnd"/>
      <w:r w:rsidRPr="007E08F7">
        <w:rPr>
          <w:rFonts w:eastAsia="Aptos"/>
        </w:rPr>
        <w:t xml:space="preserve">, osłabiają się lokalne bazy ekonomiczne i rynki pracy oraz pogłębia się nierówność społeczna. </w:t>
      </w:r>
    </w:p>
    <w:p w14:paraId="38DFBC32" w14:textId="77777777" w:rsidR="00681DFE" w:rsidRPr="007E08F7" w:rsidRDefault="00681DFE" w:rsidP="00681DFE">
      <w:pPr>
        <w:spacing w:before="120" w:after="120" w:line="288" w:lineRule="auto"/>
        <w:rPr>
          <w:rFonts w:eastAsia="Aptos"/>
        </w:rPr>
      </w:pPr>
      <w:r w:rsidRPr="007E08F7">
        <w:rPr>
          <w:rFonts w:eastAsia="Aptos"/>
        </w:rPr>
        <w:t xml:space="preserve">Kluczowa jest poprawa poziomu świadczenia usług publicznych, zarówno ich dostępności, jak i jakości, efektywności oraz zakresu oferty, przekładających się na wzrost atrakcyjności zamieszkania na terenach </w:t>
      </w:r>
      <w:proofErr w:type="spellStart"/>
      <w:r w:rsidRPr="007E08F7">
        <w:rPr>
          <w:rFonts w:eastAsia="Aptos"/>
        </w:rPr>
        <w:t>pozametropolitalnych</w:t>
      </w:r>
      <w:proofErr w:type="spellEnd"/>
      <w:r w:rsidRPr="007E08F7">
        <w:rPr>
          <w:rFonts w:eastAsia="Aptos"/>
        </w:rPr>
        <w:t xml:space="preserve">. W szczególności dotyczy to usług publicznych w obszarach: edukacji, w tym przedszkolnej i włączającej, zdrowia, sportu i rekreacji, gospodarki o obiegu zamkniętym, poprawy efektywności energetycznej, ciepłownictwa oraz energetyki </w:t>
      </w:r>
      <w:proofErr w:type="spellStart"/>
      <w:r w:rsidRPr="007E08F7">
        <w:rPr>
          <w:rFonts w:eastAsia="Aptos"/>
        </w:rPr>
        <w:t>prosumenckiej</w:t>
      </w:r>
      <w:proofErr w:type="spellEnd"/>
      <w:r w:rsidRPr="007E08F7">
        <w:rPr>
          <w:rFonts w:eastAsia="Aptos"/>
        </w:rPr>
        <w:t xml:space="preserve">. </w:t>
      </w:r>
    </w:p>
    <w:p w14:paraId="7A438EDF" w14:textId="77777777" w:rsidR="00681DFE" w:rsidRPr="007E08F7" w:rsidRDefault="00681DFE" w:rsidP="00681DFE">
      <w:pPr>
        <w:spacing w:before="120" w:after="120" w:line="288" w:lineRule="auto"/>
        <w:rPr>
          <w:rFonts w:eastAsia="Aptos"/>
        </w:rPr>
      </w:pPr>
      <w:r w:rsidRPr="007E08F7">
        <w:rPr>
          <w:rFonts w:eastAsia="Aptos"/>
        </w:rPr>
        <w:t>Istotne jest również rozwijanie lokalnej bazy ekonomicznej oraz tworzenie przyjaznej przestrzeni dla przedsiębiorczości. Wzmocnienie lokalnych specjalizacji oraz potencjałów gospodarczych pozwoli na tworzenie miejsc pracy, co przyczyni się do podniesienia standardu życia i zmniejszenia odpływu mieszkańców do dużych miast.</w:t>
      </w:r>
    </w:p>
    <w:p w14:paraId="0CCCF082" w14:textId="196F729D" w:rsidR="00681DFE" w:rsidRPr="007E08F7" w:rsidRDefault="00681DFE" w:rsidP="00681DFE">
      <w:pPr>
        <w:spacing w:before="120" w:after="120" w:line="288" w:lineRule="auto"/>
        <w:rPr>
          <w:rFonts w:eastAsia="Aptos"/>
        </w:rPr>
      </w:pPr>
      <w:r w:rsidRPr="007E08F7">
        <w:rPr>
          <w:rFonts w:eastAsia="Aptos"/>
        </w:rPr>
        <w:t xml:space="preserve">Szczególnym typem usługi publicznej jest </w:t>
      </w:r>
      <w:r w:rsidR="00226C60" w:rsidRPr="007E08F7">
        <w:rPr>
          <w:rFonts w:eastAsia="Aptos"/>
        </w:rPr>
        <w:t xml:space="preserve">publiczny </w:t>
      </w:r>
      <w:r w:rsidRPr="007E08F7">
        <w:rPr>
          <w:rFonts w:eastAsia="Aptos"/>
        </w:rPr>
        <w:t>transport</w:t>
      </w:r>
      <w:r w:rsidR="00226C60" w:rsidRPr="007E08F7">
        <w:rPr>
          <w:rFonts w:eastAsia="Aptos"/>
        </w:rPr>
        <w:t xml:space="preserve"> zbiorowy</w:t>
      </w:r>
      <w:r w:rsidRPr="007E08F7">
        <w:rPr>
          <w:rFonts w:eastAsia="Aptos"/>
        </w:rPr>
        <w:t xml:space="preserve">, który powinien pełnić rolę integratora regionu i przyczyniać się do budowania spójności Pomorza. Działania skupią się na ograniczeniu wykluczenia i ubóstwa transportowego mieszkańców, ze względu na poziom zamożności, miejsce zamieszkania, wiek czy stan zdrowia. </w:t>
      </w:r>
    </w:p>
    <w:p w14:paraId="2D33697E" w14:textId="3FF1C76C" w:rsidR="00681DFE" w:rsidRPr="007E08F7" w:rsidRDefault="00681DFE" w:rsidP="00681DFE">
      <w:pPr>
        <w:spacing w:before="120" w:after="120" w:line="288" w:lineRule="auto"/>
        <w:rPr>
          <w:rFonts w:eastAsia="Aptos"/>
        </w:rPr>
      </w:pPr>
      <w:r w:rsidRPr="007E08F7">
        <w:rPr>
          <w:rFonts w:eastAsia="Aptos"/>
        </w:rPr>
        <w:t>Ważnym aspektem budowy wieloośrodkowego Pomorza są przestrzenie publiczne, które pełnią rolę integrującą i aktywizującą społeczności, są dostępne, funkcjonalne i estetyczne. Tym samym</w:t>
      </w:r>
      <w:r w:rsidR="00226C60" w:rsidRPr="007E08F7">
        <w:rPr>
          <w:rFonts w:eastAsia="Aptos"/>
        </w:rPr>
        <w:t>,</w:t>
      </w:r>
      <w:r w:rsidRPr="007E08F7">
        <w:rPr>
          <w:rFonts w:eastAsia="Aptos"/>
        </w:rPr>
        <w:t xml:space="preserve"> przyczyniają się do rozwoju usług publicznych oraz kapitału społecznego. Służyć temu będą też inicjatywy o charakterze edukacyjnym w zakresie ładu przestrzennego, skierowane do kluczowych interesariuszy, co prowadzić będzie do</w:t>
      </w:r>
      <w:r w:rsidR="0080233A" w:rsidRPr="007E08F7">
        <w:rPr>
          <w:rFonts w:eastAsia="Aptos"/>
        </w:rPr>
        <w:t> </w:t>
      </w:r>
      <w:r w:rsidRPr="007E08F7">
        <w:rPr>
          <w:rFonts w:eastAsia="Aptos"/>
        </w:rPr>
        <w:t xml:space="preserve">kompleksowej odnowy pomorskich przestrzeni publicznych. </w:t>
      </w:r>
    </w:p>
    <w:p w14:paraId="2862DE71" w14:textId="1BE76CD3" w:rsidR="00681DFE" w:rsidRPr="007E08F7" w:rsidRDefault="00681DFE" w:rsidP="00681DFE">
      <w:pPr>
        <w:spacing w:before="120" w:after="120" w:line="288" w:lineRule="auto"/>
        <w:rPr>
          <w:rFonts w:eastAsia="Aptos"/>
        </w:rPr>
      </w:pPr>
      <w:r w:rsidRPr="007E08F7">
        <w:rPr>
          <w:rFonts w:eastAsia="Aptos"/>
        </w:rPr>
        <w:lastRenderedPageBreak/>
        <w:t>W procesie wyrównywania poziomu warunków życia w regionie, istotną rolę pełni także przeciwdziałanie degradacji obszarów miejskich, mierzących się z wyzwaniami społecznymi, przestrzennymi, środowiskowymi i gospodarczymi. Niezbędna jest realizacja kompleksowych działań rewitalizacyjnych, mających na celu wydobycie ww.</w:t>
      </w:r>
      <w:r w:rsidR="0080233A" w:rsidRPr="007E08F7">
        <w:rPr>
          <w:rFonts w:eastAsia="Aptos"/>
        </w:rPr>
        <w:t> </w:t>
      </w:r>
      <w:r w:rsidRPr="007E08F7">
        <w:rPr>
          <w:rFonts w:eastAsia="Aptos"/>
        </w:rPr>
        <w:t>obszarów z kryzysu oraz trwałe włączanie mieszkańców w procesy zachodzące w</w:t>
      </w:r>
      <w:r w:rsidR="0080233A" w:rsidRPr="007E08F7">
        <w:rPr>
          <w:rFonts w:eastAsia="Aptos"/>
        </w:rPr>
        <w:t> </w:t>
      </w:r>
      <w:r w:rsidRPr="007E08F7">
        <w:rPr>
          <w:rFonts w:eastAsia="Aptos"/>
        </w:rPr>
        <w:t>ich najbliższym otoczeniu.</w:t>
      </w:r>
    </w:p>
    <w:p w14:paraId="73FC5C74" w14:textId="3B4BE04C" w:rsidR="00681DFE" w:rsidRPr="007E08F7" w:rsidRDefault="00681DFE" w:rsidP="009F21B4">
      <w:pPr>
        <w:pStyle w:val="Nagwek3"/>
        <w:rPr>
          <w:rFonts w:eastAsia="Aptos"/>
        </w:rPr>
      </w:pPr>
      <w:bookmarkStart w:id="63" w:name="_Toc239772090"/>
      <w:r w:rsidRPr="007E08F7">
        <w:t>Pożądany kierunek zmian</w:t>
      </w:r>
      <w:r w:rsidR="00EF7D8D" w:rsidRPr="007E08F7">
        <w:t xml:space="preserve"> CS 3.</w:t>
      </w:r>
      <w:bookmarkEnd w:id="63"/>
    </w:p>
    <w:p w14:paraId="3373D251" w14:textId="67F7E071" w:rsidR="00681DFE" w:rsidRPr="007E08F7" w:rsidRDefault="00681DFE">
      <w:pPr>
        <w:numPr>
          <w:ilvl w:val="0"/>
          <w:numId w:val="22"/>
        </w:numPr>
        <w:spacing w:before="120" w:after="120" w:line="288" w:lineRule="auto"/>
        <w:ind w:left="426" w:hanging="426"/>
        <w:rPr>
          <w:rFonts w:eastAsia="Aptos"/>
        </w:rPr>
      </w:pPr>
      <w:r w:rsidRPr="007E08F7">
        <w:rPr>
          <w:rFonts w:eastAsia="Aptos"/>
        </w:rPr>
        <w:t>Wzmocnienie krajowej i globalnej marki obszaru metropolitalnego w kluczowych dla</w:t>
      </w:r>
      <w:r w:rsidR="0080233A" w:rsidRPr="007E08F7">
        <w:rPr>
          <w:rFonts w:eastAsia="Aptos"/>
        </w:rPr>
        <w:t> </w:t>
      </w:r>
      <w:r w:rsidRPr="007E08F7">
        <w:rPr>
          <w:rFonts w:eastAsia="Aptos"/>
        </w:rPr>
        <w:t>województwa obszarach.</w:t>
      </w:r>
    </w:p>
    <w:p w14:paraId="7D5830C8" w14:textId="22EBE1C9" w:rsidR="00681DFE" w:rsidRPr="007E08F7" w:rsidRDefault="00681DFE">
      <w:pPr>
        <w:numPr>
          <w:ilvl w:val="0"/>
          <w:numId w:val="22"/>
        </w:numPr>
        <w:spacing w:before="120" w:after="120" w:line="288" w:lineRule="auto"/>
        <w:ind w:left="426" w:hanging="426"/>
        <w:rPr>
          <w:rFonts w:eastAsia="Aptos"/>
        </w:rPr>
      </w:pPr>
      <w:r w:rsidRPr="007E08F7">
        <w:rPr>
          <w:rFonts w:eastAsia="Aptos"/>
        </w:rPr>
        <w:t>Wzrost dostępności, jakości oraz zakresu usług publicznych, w szczególności poza</w:t>
      </w:r>
      <w:r w:rsidR="0080233A" w:rsidRPr="007E08F7">
        <w:rPr>
          <w:rFonts w:eastAsia="Aptos"/>
        </w:rPr>
        <w:t> </w:t>
      </w:r>
      <w:r w:rsidRPr="007E08F7">
        <w:rPr>
          <w:rFonts w:eastAsia="Aptos"/>
        </w:rPr>
        <w:t>obszarem metropolitalnym.</w:t>
      </w:r>
    </w:p>
    <w:p w14:paraId="3B54742C" w14:textId="77777777" w:rsidR="00681DFE" w:rsidRPr="007E08F7" w:rsidRDefault="00681DFE">
      <w:pPr>
        <w:numPr>
          <w:ilvl w:val="0"/>
          <w:numId w:val="22"/>
        </w:numPr>
        <w:spacing w:before="120" w:after="120" w:line="288" w:lineRule="auto"/>
        <w:ind w:left="426" w:hanging="426"/>
        <w:rPr>
          <w:rFonts w:eastAsia="Aptos"/>
        </w:rPr>
      </w:pPr>
      <w:r w:rsidRPr="007E08F7">
        <w:rPr>
          <w:rFonts w:eastAsia="Aptos"/>
        </w:rPr>
        <w:t xml:space="preserve">Wzmocnienie lokalnej bazy ekonomicznej. </w:t>
      </w:r>
    </w:p>
    <w:p w14:paraId="31F99E37" w14:textId="77777777" w:rsidR="00681DFE" w:rsidRPr="007E08F7" w:rsidRDefault="00681DFE">
      <w:pPr>
        <w:numPr>
          <w:ilvl w:val="0"/>
          <w:numId w:val="22"/>
        </w:numPr>
        <w:spacing w:before="120" w:after="120" w:line="288" w:lineRule="auto"/>
        <w:ind w:left="426" w:hanging="426"/>
        <w:rPr>
          <w:rFonts w:eastAsia="Aptos"/>
        </w:rPr>
      </w:pPr>
      <w:r w:rsidRPr="007E08F7">
        <w:rPr>
          <w:rFonts w:eastAsia="Aptos"/>
        </w:rPr>
        <w:t>Ograniczenie wykluczenia i ubóstwa transportowego.</w:t>
      </w:r>
    </w:p>
    <w:p w14:paraId="44F6EBE2" w14:textId="77777777" w:rsidR="00681DFE" w:rsidRPr="007E08F7" w:rsidRDefault="00681DFE">
      <w:pPr>
        <w:numPr>
          <w:ilvl w:val="0"/>
          <w:numId w:val="22"/>
        </w:numPr>
        <w:spacing w:before="120" w:after="120" w:line="288" w:lineRule="auto"/>
        <w:ind w:left="426" w:hanging="426"/>
        <w:rPr>
          <w:rFonts w:eastAsia="Aptos"/>
        </w:rPr>
      </w:pPr>
      <w:r w:rsidRPr="007E08F7">
        <w:rPr>
          <w:rFonts w:eastAsia="Aptos"/>
        </w:rPr>
        <w:t xml:space="preserve">Zwiększenie dostępności do przyjaznych przestrzeni publicznych. </w:t>
      </w:r>
    </w:p>
    <w:p w14:paraId="4646D3DD" w14:textId="45C97F08" w:rsidR="00ED14F1" w:rsidRPr="007E08F7" w:rsidRDefault="00681DFE">
      <w:pPr>
        <w:numPr>
          <w:ilvl w:val="0"/>
          <w:numId w:val="22"/>
        </w:numPr>
        <w:spacing w:before="120" w:after="120" w:line="288" w:lineRule="auto"/>
        <w:ind w:left="426" w:hanging="426"/>
        <w:rPr>
          <w:rFonts w:eastAsia="Aptos"/>
        </w:rPr>
      </w:pPr>
      <w:r w:rsidRPr="007E08F7">
        <w:rPr>
          <w:rFonts w:eastAsia="Aptos"/>
        </w:rPr>
        <w:t>Poprawa jakości planowania przestrzennego</w:t>
      </w:r>
      <w:r w:rsidR="00ED14F1" w:rsidRPr="007E08F7">
        <w:rPr>
          <w:rFonts w:eastAsia="Aptos"/>
        </w:rPr>
        <w:t>.</w:t>
      </w:r>
    </w:p>
    <w:p w14:paraId="263AB2C2" w14:textId="77777777" w:rsidR="00ED14F1" w:rsidRPr="007E08F7" w:rsidRDefault="00ED14F1" w:rsidP="00ED14F1">
      <w:pPr>
        <w:rPr>
          <w:rFonts w:cstheme="minorHAnsi"/>
          <w:b/>
          <w:bCs/>
        </w:rPr>
      </w:pPr>
      <w:r w:rsidRPr="007E08F7">
        <w:rPr>
          <w:rFonts w:cstheme="minorHAnsi"/>
          <w:b/>
          <w:bCs/>
        </w:rPr>
        <w:br w:type="page"/>
      </w:r>
    </w:p>
    <w:p w14:paraId="34E87E6A" w14:textId="54DFAEC1" w:rsidR="00ED14F1" w:rsidRPr="007E08F7" w:rsidRDefault="00ED14F1" w:rsidP="002F715A">
      <w:pPr>
        <w:pStyle w:val="Nagwek3"/>
        <w:rPr>
          <w:rFonts w:cstheme="minorHAnsi"/>
        </w:rPr>
      </w:pPr>
      <w:bookmarkStart w:id="64" w:name="_Toc239772091"/>
      <w:r w:rsidRPr="007E08F7">
        <w:rPr>
          <w:rFonts w:cstheme="minorHAnsi"/>
        </w:rPr>
        <w:lastRenderedPageBreak/>
        <w:t>C</w:t>
      </w:r>
      <w:r w:rsidR="00DE132D" w:rsidRPr="007E08F7">
        <w:rPr>
          <w:rFonts w:cstheme="minorHAnsi"/>
        </w:rPr>
        <w:t>el operacyjny</w:t>
      </w:r>
      <w:r w:rsidRPr="007E08F7">
        <w:rPr>
          <w:rFonts w:cstheme="minorHAnsi"/>
        </w:rPr>
        <w:t xml:space="preserve"> 3.1. </w:t>
      </w:r>
      <w:r w:rsidRPr="007E08F7">
        <w:t>Mocna marka obszaru metropolitalnego</w:t>
      </w:r>
      <w:bookmarkEnd w:id="64"/>
      <w:r w:rsidRPr="007E08F7">
        <w:rPr>
          <w:rFonts w:cstheme="minorHAnsi"/>
        </w:rPr>
        <w:t xml:space="preserve"> </w:t>
      </w:r>
    </w:p>
    <w:p w14:paraId="56467C5A" w14:textId="1BD7A3A4" w:rsidR="00ED14F1" w:rsidRPr="007E08F7" w:rsidRDefault="00ED14F1" w:rsidP="00D447C3">
      <w:pPr>
        <w:pStyle w:val="Nagwek4"/>
        <w:rPr>
          <w:iCs w:val="0"/>
        </w:rPr>
      </w:pPr>
      <w:r w:rsidRPr="007E08F7">
        <w:rPr>
          <w:iCs w:val="0"/>
        </w:rPr>
        <w:t>Przesłanki realizacji Celu operacyjnego</w:t>
      </w:r>
      <w:r w:rsidR="00EF7D8D" w:rsidRPr="007E08F7">
        <w:rPr>
          <w:iCs w:val="0"/>
        </w:rPr>
        <w:t xml:space="preserve"> 3.1</w:t>
      </w:r>
    </w:p>
    <w:p w14:paraId="295D739A" w14:textId="53F61275" w:rsidR="00681DFE" w:rsidRPr="007E08F7" w:rsidRDefault="00ED14F1" w:rsidP="00681DFE">
      <w:pPr>
        <w:spacing w:before="120" w:after="120" w:line="288" w:lineRule="auto"/>
        <w:rPr>
          <w:rFonts w:cstheme="minorHAnsi"/>
        </w:rPr>
      </w:pPr>
      <w:r w:rsidRPr="007E08F7">
        <w:rPr>
          <w:rFonts w:cstheme="minorHAnsi"/>
        </w:rPr>
        <w:t>U</w:t>
      </w:r>
      <w:r w:rsidR="00226C60" w:rsidRPr="007E08F7">
        <w:rPr>
          <w:rFonts w:cstheme="minorHAnsi"/>
        </w:rPr>
        <w:t>mocnienie</w:t>
      </w:r>
      <w:r w:rsidR="00681DFE" w:rsidRPr="007E08F7">
        <w:rPr>
          <w:rFonts w:cstheme="minorHAnsi"/>
        </w:rPr>
        <w:t xml:space="preserve"> międzynarodowej pozycji konkurencyjnej oraz potencjału gospodarczego regionu wymaga nowoczesnego, zintegrowanego i rozpoznawalnego obszaru metropolitalnego, stanowiącego fundament dla rozwoju zaawansowanych usług publicznych. Jest to warunek nie tylko podniesienia warunków życia, ale również skutecznego przyciągania inwestorów, turystów i nowych mieszkańców.</w:t>
      </w:r>
    </w:p>
    <w:p w14:paraId="0128958B" w14:textId="7E4BCFA8" w:rsidR="00681DFE" w:rsidRPr="007E08F7" w:rsidRDefault="00681DFE" w:rsidP="00681DFE">
      <w:pPr>
        <w:spacing w:before="120" w:after="120" w:line="288" w:lineRule="auto"/>
        <w:rPr>
          <w:rFonts w:cstheme="minorHAnsi"/>
        </w:rPr>
      </w:pPr>
      <w:r w:rsidRPr="007E08F7">
        <w:rPr>
          <w:rFonts w:cstheme="minorHAnsi"/>
        </w:rPr>
        <w:t>Pomimo zrealizowanych inicjatyw obejmujących m.in. organizację wydarzeń gospodarczych, rozwój oferty instytucji kultury, obiektów sportowych, kluczowych podmiotów leczniczych, oferty edukacyjnej, a także integrację systemów transportowych, potencjał metropolii wciąż nie jest w pełni skonsolidowany i</w:t>
      </w:r>
      <w:r w:rsidR="002455C8" w:rsidRPr="007E08F7">
        <w:rPr>
          <w:rFonts w:cstheme="minorHAnsi"/>
        </w:rPr>
        <w:t> </w:t>
      </w:r>
      <w:r w:rsidRPr="007E08F7">
        <w:rPr>
          <w:rFonts w:cstheme="minorHAnsi"/>
        </w:rPr>
        <w:t xml:space="preserve">rozpoznawalny w skali </w:t>
      </w:r>
      <w:r w:rsidRPr="007E08F7">
        <w:rPr>
          <w:rFonts w:eastAsia="Aptos"/>
        </w:rPr>
        <w:t xml:space="preserve">europejskiej i globalnej. </w:t>
      </w:r>
      <w:r w:rsidRPr="007E08F7">
        <w:rPr>
          <w:rFonts w:cstheme="minorHAnsi"/>
        </w:rPr>
        <w:t>Taki stan rzeczy wynika przede wszystkim z niedostatecznej koordynacji działań oraz rozwijania kluczowych sektorów w</w:t>
      </w:r>
      <w:r w:rsidR="002455C8" w:rsidRPr="007E08F7">
        <w:rPr>
          <w:rFonts w:cstheme="minorHAnsi"/>
        </w:rPr>
        <w:t> </w:t>
      </w:r>
      <w:r w:rsidRPr="007E08F7">
        <w:rPr>
          <w:rFonts w:cstheme="minorHAnsi"/>
        </w:rPr>
        <w:t>sposób rozproszony.</w:t>
      </w:r>
    </w:p>
    <w:p w14:paraId="0CFDAAA0" w14:textId="78A5E172" w:rsidR="00681DFE" w:rsidRPr="007E08F7" w:rsidRDefault="00681DFE" w:rsidP="00681DFE">
      <w:pPr>
        <w:spacing w:before="120" w:after="120" w:line="288" w:lineRule="auto"/>
        <w:rPr>
          <w:rFonts w:cstheme="minorHAnsi"/>
        </w:rPr>
      </w:pPr>
      <w:r w:rsidRPr="007E08F7">
        <w:rPr>
          <w:rFonts w:cstheme="minorHAnsi"/>
        </w:rPr>
        <w:t xml:space="preserve">Priorytetem staje się realizacja przedsięwzięć podnoszących rangę oferty kulturalnej </w:t>
      </w:r>
      <w:r w:rsidR="004643C5" w:rsidRPr="007E08F7">
        <w:rPr>
          <w:rFonts w:cstheme="minorHAnsi"/>
        </w:rPr>
        <w:t>(w</w:t>
      </w:r>
      <w:r w:rsidR="009E02B3">
        <w:rPr>
          <w:rFonts w:cstheme="minorHAnsi"/>
        </w:rPr>
        <w:t> </w:t>
      </w:r>
      <w:r w:rsidR="004643C5" w:rsidRPr="007E08F7">
        <w:rPr>
          <w:rFonts w:cstheme="minorHAnsi"/>
        </w:rPr>
        <w:t xml:space="preserve">szczególności budowa nowego gmachu opery) </w:t>
      </w:r>
      <w:r w:rsidRPr="007E08F7">
        <w:rPr>
          <w:rFonts w:cstheme="minorHAnsi"/>
        </w:rPr>
        <w:t>i</w:t>
      </w:r>
      <w:r w:rsidR="002455C8" w:rsidRPr="007E08F7">
        <w:rPr>
          <w:rFonts w:cstheme="minorHAnsi"/>
        </w:rPr>
        <w:t> </w:t>
      </w:r>
      <w:r w:rsidRPr="007E08F7">
        <w:rPr>
          <w:rFonts w:cstheme="minorHAnsi"/>
        </w:rPr>
        <w:t xml:space="preserve">sportowej, medycznej i edukacyjnej na poziomie wyższym, w połączeniu z wdrożeniem spójnych rozwiązań w </w:t>
      </w:r>
      <w:r w:rsidR="00226C60" w:rsidRPr="007E08F7">
        <w:rPr>
          <w:rFonts w:cstheme="minorHAnsi"/>
        </w:rPr>
        <w:t xml:space="preserve">publicznym </w:t>
      </w:r>
      <w:r w:rsidRPr="007E08F7">
        <w:rPr>
          <w:rFonts w:cstheme="minorHAnsi"/>
        </w:rPr>
        <w:t>transporcie</w:t>
      </w:r>
      <w:r w:rsidR="00226C60" w:rsidRPr="007E08F7">
        <w:rPr>
          <w:rFonts w:cstheme="minorHAnsi"/>
        </w:rPr>
        <w:t xml:space="preserve"> zbiorowym</w:t>
      </w:r>
      <w:r w:rsidRPr="007E08F7">
        <w:rPr>
          <w:rFonts w:cstheme="minorHAnsi"/>
        </w:rPr>
        <w:t>. Niezbędne jest także zintensyfikowanie działań pozycjonujących Pomorze jako jednolitą, silną markę metropolitalną, zdolną do równej rywalizacji z</w:t>
      </w:r>
      <w:r w:rsidR="009E02B3">
        <w:rPr>
          <w:rFonts w:cstheme="minorHAnsi"/>
        </w:rPr>
        <w:t> </w:t>
      </w:r>
      <w:r w:rsidRPr="007E08F7">
        <w:rPr>
          <w:rFonts w:cstheme="minorHAnsi"/>
        </w:rPr>
        <w:t>wiodącymi metropoliami w Polsce i</w:t>
      </w:r>
      <w:r w:rsidR="002455C8" w:rsidRPr="007E08F7">
        <w:rPr>
          <w:rFonts w:cstheme="minorHAnsi"/>
        </w:rPr>
        <w:t> </w:t>
      </w:r>
      <w:r w:rsidRPr="007E08F7">
        <w:rPr>
          <w:rFonts w:cstheme="minorHAnsi"/>
        </w:rPr>
        <w:t>w</w:t>
      </w:r>
      <w:r w:rsidR="002455C8" w:rsidRPr="007E08F7">
        <w:rPr>
          <w:rFonts w:cstheme="minorHAnsi"/>
        </w:rPr>
        <w:t> </w:t>
      </w:r>
      <w:r w:rsidRPr="007E08F7">
        <w:rPr>
          <w:rFonts w:cstheme="minorHAnsi"/>
        </w:rPr>
        <w:t>Europie.</w:t>
      </w:r>
    </w:p>
    <w:p w14:paraId="7A876748" w14:textId="47819AFD" w:rsidR="00681DFE" w:rsidRPr="007E08F7" w:rsidRDefault="00681DFE" w:rsidP="00D447C3">
      <w:pPr>
        <w:pStyle w:val="Nagwek4"/>
        <w:rPr>
          <w:iCs w:val="0"/>
        </w:rPr>
      </w:pPr>
      <w:r w:rsidRPr="007E08F7">
        <w:rPr>
          <w:iCs w:val="0"/>
        </w:rPr>
        <w:t xml:space="preserve">Ukierunkowanie tematyczne </w:t>
      </w:r>
      <w:r w:rsidR="00EF7D8D" w:rsidRPr="007E08F7">
        <w:rPr>
          <w:iCs w:val="0"/>
        </w:rPr>
        <w:t xml:space="preserve">CO 3.1 </w:t>
      </w:r>
      <w:r w:rsidR="00EF7D8D" w:rsidRPr="007E08F7">
        <w:rPr>
          <w:iCs w:val="0"/>
        </w:rPr>
        <w:br/>
      </w:r>
      <w:r w:rsidRPr="007E08F7">
        <w:rPr>
          <w:iCs w:val="0"/>
        </w:rPr>
        <w:t>(kluczowe kierunki interwencji i działania)</w:t>
      </w:r>
    </w:p>
    <w:p w14:paraId="3792327A" w14:textId="77777777" w:rsidR="00681DFE" w:rsidRPr="007E08F7" w:rsidRDefault="00681DFE" w:rsidP="00681DFE">
      <w:pPr>
        <w:spacing w:before="120" w:after="120" w:line="288" w:lineRule="auto"/>
      </w:pPr>
      <w:r w:rsidRPr="007E08F7">
        <w:rPr>
          <w:b/>
          <w:bCs/>
        </w:rPr>
        <w:t>3.1.1</w:t>
      </w:r>
      <w:r w:rsidRPr="007E08F7">
        <w:t xml:space="preserve"> </w:t>
      </w:r>
      <w:r w:rsidRPr="007E08F7">
        <w:br/>
        <w:t>Podnoszenie międzynarodowego znaczenia obszaru metropolitalnego w wymiarach kulturalnym, sportowym i turystycznym, tworzących unikalną tożsamość i ofertę.</w:t>
      </w:r>
    </w:p>
    <w:p w14:paraId="7EA7312F" w14:textId="77777777" w:rsidR="00681DFE" w:rsidRPr="007E08F7" w:rsidRDefault="00681DFE" w:rsidP="00681DFE">
      <w:pPr>
        <w:spacing w:before="120" w:after="120" w:line="288" w:lineRule="auto"/>
        <w:rPr>
          <w:rFonts w:cstheme="minorHAnsi"/>
        </w:rPr>
      </w:pPr>
      <w:r w:rsidRPr="007E08F7">
        <w:rPr>
          <w:b/>
          <w:bCs/>
        </w:rPr>
        <w:t>3.1.2</w:t>
      </w:r>
      <w:r w:rsidRPr="007E08F7">
        <w:br/>
      </w:r>
      <w:r w:rsidRPr="007E08F7">
        <w:rPr>
          <w:rFonts w:cstheme="minorHAnsi"/>
        </w:rPr>
        <w:t>Rozwój wyspecjalizowanych usług zdrowotnych o znaczeniu ponadregionalnym.</w:t>
      </w:r>
    </w:p>
    <w:p w14:paraId="6F16C11F" w14:textId="36378D17" w:rsidR="00681DFE" w:rsidRPr="007E08F7" w:rsidRDefault="00681DFE" w:rsidP="00681DFE">
      <w:pPr>
        <w:spacing w:before="120" w:after="120" w:line="288" w:lineRule="auto"/>
        <w:rPr>
          <w:rFonts w:cstheme="minorHAnsi"/>
        </w:rPr>
      </w:pPr>
      <w:r w:rsidRPr="007E08F7">
        <w:rPr>
          <w:rFonts w:cstheme="minorHAnsi"/>
          <w:b/>
          <w:bCs/>
        </w:rPr>
        <w:t>3.1.3</w:t>
      </w:r>
      <w:r w:rsidRPr="007E08F7">
        <w:rPr>
          <w:rFonts w:cstheme="minorHAnsi"/>
          <w:b/>
          <w:bCs/>
        </w:rPr>
        <w:br/>
      </w:r>
      <w:r w:rsidRPr="007E08F7">
        <w:rPr>
          <w:rFonts w:cstheme="minorHAnsi"/>
        </w:rPr>
        <w:t>Wsparcie rozwoju oferty edukacyjnej metropolitalnych uczelni, w szczególności w</w:t>
      </w:r>
      <w:r w:rsidR="002455C8" w:rsidRPr="007E08F7">
        <w:rPr>
          <w:rFonts w:cstheme="minorHAnsi"/>
        </w:rPr>
        <w:t> </w:t>
      </w:r>
      <w:r w:rsidRPr="007E08F7">
        <w:rPr>
          <w:rFonts w:cstheme="minorHAnsi"/>
        </w:rPr>
        <w:t>obszarach powiązanych ze strategicznymi sektorami i technologiami.</w:t>
      </w:r>
    </w:p>
    <w:p w14:paraId="56FBB593" w14:textId="77777777" w:rsidR="00681DFE" w:rsidRPr="007E08F7" w:rsidRDefault="00681DFE" w:rsidP="00681DFE">
      <w:pPr>
        <w:spacing w:before="120" w:after="120" w:line="288" w:lineRule="auto"/>
        <w:rPr>
          <w:rFonts w:cstheme="minorHAnsi"/>
        </w:rPr>
      </w:pPr>
      <w:r w:rsidRPr="007E08F7">
        <w:rPr>
          <w:rFonts w:cstheme="minorHAnsi"/>
          <w:b/>
          <w:bCs/>
        </w:rPr>
        <w:t>3.1.4</w:t>
      </w:r>
      <w:r w:rsidRPr="007E08F7">
        <w:rPr>
          <w:rFonts w:cstheme="minorHAnsi"/>
          <w:b/>
          <w:bCs/>
        </w:rPr>
        <w:br/>
      </w:r>
      <w:r w:rsidRPr="007E08F7">
        <w:rPr>
          <w:rFonts w:cstheme="minorHAnsi"/>
        </w:rPr>
        <w:t>Integracja metropolitalnego publicznego transportu zbiorowego.</w:t>
      </w:r>
    </w:p>
    <w:p w14:paraId="1171B739" w14:textId="77777777" w:rsidR="00681DFE" w:rsidRPr="007E08F7" w:rsidRDefault="00681DFE" w:rsidP="00681DFE">
      <w:pPr>
        <w:spacing w:before="120" w:after="120" w:line="288" w:lineRule="auto"/>
        <w:rPr>
          <w:rFonts w:cstheme="minorHAnsi"/>
        </w:rPr>
      </w:pPr>
      <w:r w:rsidRPr="007E08F7">
        <w:rPr>
          <w:rFonts w:cstheme="minorHAnsi"/>
          <w:b/>
          <w:bCs/>
        </w:rPr>
        <w:t>3.1.5</w:t>
      </w:r>
      <w:r w:rsidRPr="007E08F7">
        <w:rPr>
          <w:rFonts w:cstheme="minorHAnsi"/>
          <w:b/>
          <w:bCs/>
        </w:rPr>
        <w:br/>
      </w:r>
      <w:r w:rsidRPr="007E08F7">
        <w:rPr>
          <w:rFonts w:cstheme="minorHAnsi"/>
        </w:rPr>
        <w:t>Rozwój innych ponadlokalnych usług publicznych, podnoszących warunki życia mieszkańców oraz atrakcyjność osadniczą i inwestycyjną obszaru metropolitalnego.</w:t>
      </w:r>
    </w:p>
    <w:p w14:paraId="528ED1FC" w14:textId="3D9BE875" w:rsidR="00681DFE" w:rsidRPr="007E08F7" w:rsidRDefault="00681DFE" w:rsidP="00D447C3">
      <w:pPr>
        <w:pStyle w:val="Nagwek4"/>
        <w:rPr>
          <w:iCs w:val="0"/>
        </w:rPr>
      </w:pPr>
      <w:r w:rsidRPr="007E08F7">
        <w:rPr>
          <w:iCs w:val="0"/>
        </w:rPr>
        <w:lastRenderedPageBreak/>
        <w:t>Ukierunkowanie terytorialne</w:t>
      </w:r>
      <w:r w:rsidR="00EF7D8D" w:rsidRPr="007E08F7">
        <w:rPr>
          <w:iCs w:val="0"/>
        </w:rPr>
        <w:t xml:space="preserve"> CO 3.1</w:t>
      </w:r>
    </w:p>
    <w:p w14:paraId="4C1A86F0" w14:textId="77777777" w:rsidR="00681DFE" w:rsidRPr="007E08F7" w:rsidRDefault="00681DFE" w:rsidP="00681DFE">
      <w:pPr>
        <w:spacing w:before="120" w:after="120" w:line="288" w:lineRule="auto"/>
        <w:rPr>
          <w:rFonts w:cstheme="minorHAnsi"/>
        </w:rPr>
      </w:pPr>
      <w:r w:rsidRPr="007E08F7">
        <w:rPr>
          <w:rFonts w:cstheme="minorHAnsi"/>
        </w:rPr>
        <w:t xml:space="preserve">Obszar metropolitalny. </w:t>
      </w:r>
    </w:p>
    <w:p w14:paraId="30B78F96" w14:textId="0B26EF36" w:rsidR="00681DFE" w:rsidRPr="007E08F7" w:rsidRDefault="00681DFE" w:rsidP="00D447C3">
      <w:pPr>
        <w:pStyle w:val="Nagwek4"/>
        <w:rPr>
          <w:iCs w:val="0"/>
        </w:rPr>
      </w:pPr>
      <w:r w:rsidRPr="007E08F7">
        <w:rPr>
          <w:iCs w:val="0"/>
        </w:rPr>
        <w:t>Oczekiwane rezultaty</w:t>
      </w:r>
      <w:r w:rsidR="00EF7D8D" w:rsidRPr="007E08F7">
        <w:rPr>
          <w:iCs w:val="0"/>
        </w:rPr>
        <w:t xml:space="preserve"> CO 3.1</w:t>
      </w:r>
    </w:p>
    <w:p w14:paraId="0D0C44A3" w14:textId="77777777" w:rsidR="00681DFE" w:rsidRPr="007E08F7" w:rsidRDefault="00681DFE">
      <w:pPr>
        <w:numPr>
          <w:ilvl w:val="0"/>
          <w:numId w:val="39"/>
        </w:numPr>
        <w:spacing w:before="120" w:after="120" w:line="288" w:lineRule="auto"/>
        <w:rPr>
          <w:rFonts w:cstheme="minorHAnsi"/>
        </w:rPr>
      </w:pPr>
      <w:r w:rsidRPr="007E08F7">
        <w:rPr>
          <w:rFonts w:cstheme="minorHAnsi"/>
        </w:rPr>
        <w:t xml:space="preserve">Wzrost międzynarodowej rozpoznawalności obszaru metropolitalnego służącej atrakcyjności inwestycyjnej, turystycznej i osiedleńczej. </w:t>
      </w:r>
    </w:p>
    <w:p w14:paraId="2AB1DE35" w14:textId="2F56AC31" w:rsidR="00681DFE" w:rsidRPr="007E08F7" w:rsidRDefault="00681DFE">
      <w:pPr>
        <w:numPr>
          <w:ilvl w:val="0"/>
          <w:numId w:val="39"/>
        </w:numPr>
        <w:spacing w:before="120" w:after="120" w:line="288" w:lineRule="auto"/>
        <w:rPr>
          <w:rFonts w:cstheme="minorHAnsi"/>
        </w:rPr>
      </w:pPr>
      <w:r w:rsidRPr="007E08F7">
        <w:rPr>
          <w:rFonts w:cstheme="minorHAnsi"/>
        </w:rPr>
        <w:t xml:space="preserve">Wzmocnienie rozpoznawalnej w skali europejskiej i globalnej metropolitalnej oferty </w:t>
      </w:r>
      <w:r w:rsidR="004643C5" w:rsidRPr="007E08F7">
        <w:rPr>
          <w:rFonts w:cstheme="minorHAnsi"/>
        </w:rPr>
        <w:t xml:space="preserve">kulturalnej, sportowej, turystycznej, </w:t>
      </w:r>
      <w:r w:rsidRPr="007E08F7">
        <w:rPr>
          <w:rFonts w:cstheme="minorHAnsi"/>
        </w:rPr>
        <w:t>medycznej</w:t>
      </w:r>
      <w:r w:rsidR="004643C5" w:rsidRPr="007E08F7">
        <w:rPr>
          <w:rFonts w:cstheme="minorHAnsi"/>
        </w:rPr>
        <w:t xml:space="preserve"> i </w:t>
      </w:r>
      <w:r w:rsidRPr="007E08F7">
        <w:rPr>
          <w:rFonts w:cstheme="minorHAnsi"/>
        </w:rPr>
        <w:t>edukacyjnej na poziomie wyższym.</w:t>
      </w:r>
    </w:p>
    <w:p w14:paraId="04A66B8D" w14:textId="3F09C933" w:rsidR="00681DFE" w:rsidRPr="007E08F7" w:rsidRDefault="00681DFE">
      <w:pPr>
        <w:numPr>
          <w:ilvl w:val="0"/>
          <w:numId w:val="39"/>
        </w:numPr>
        <w:spacing w:before="120" w:after="120" w:line="288" w:lineRule="auto"/>
        <w:rPr>
          <w:rFonts w:cstheme="minorHAnsi"/>
        </w:rPr>
      </w:pPr>
      <w:r w:rsidRPr="007E08F7">
        <w:rPr>
          <w:rFonts w:cstheme="minorHAnsi"/>
        </w:rPr>
        <w:t xml:space="preserve">Zwiększenie spójności i integracji metropolitalnego </w:t>
      </w:r>
      <w:r w:rsidR="00226C60" w:rsidRPr="007E08F7">
        <w:rPr>
          <w:rFonts w:cstheme="minorHAnsi"/>
        </w:rPr>
        <w:t xml:space="preserve">publicznego </w:t>
      </w:r>
      <w:r w:rsidRPr="007E08F7">
        <w:rPr>
          <w:rFonts w:cstheme="minorHAnsi"/>
        </w:rPr>
        <w:t>transportu</w:t>
      </w:r>
      <w:r w:rsidR="00226C60" w:rsidRPr="007E08F7">
        <w:rPr>
          <w:rFonts w:cstheme="minorHAnsi"/>
        </w:rPr>
        <w:t xml:space="preserve"> zbiorowego</w:t>
      </w:r>
      <w:r w:rsidRPr="007E08F7">
        <w:rPr>
          <w:rFonts w:cstheme="minorHAnsi"/>
        </w:rPr>
        <w:t>.</w:t>
      </w:r>
    </w:p>
    <w:p w14:paraId="7F78C0F5" w14:textId="3506CE84" w:rsidR="00681DFE" w:rsidRPr="007E08F7" w:rsidRDefault="00681DFE" w:rsidP="0080233A">
      <w:pPr>
        <w:pStyle w:val="Nagwek4"/>
        <w:spacing w:before="360"/>
        <w:rPr>
          <w:iCs w:val="0"/>
        </w:rPr>
      </w:pPr>
      <w:r w:rsidRPr="007E08F7">
        <w:rPr>
          <w:iCs w:val="0"/>
        </w:rPr>
        <w:t xml:space="preserve">Wskaźniki </w:t>
      </w:r>
      <w:r w:rsidR="0024620F" w:rsidRPr="007E08F7">
        <w:rPr>
          <w:iCs w:val="0"/>
        </w:rPr>
        <w:t xml:space="preserve">CO 3.1 </w:t>
      </w:r>
      <w:r w:rsidRPr="007E08F7">
        <w:rPr>
          <w:iCs w:val="0"/>
        </w:rPr>
        <w:t>(dotyczą obszaru metropolitalnego)</w:t>
      </w:r>
    </w:p>
    <w:tbl>
      <w:tblPr>
        <w:tblStyle w:val="Tabela-Siatka10"/>
        <w:tblW w:w="5000" w:type="pct"/>
        <w:tblLook w:val="01E0" w:firstRow="1" w:lastRow="1" w:firstColumn="1" w:lastColumn="1" w:noHBand="0" w:noVBand="0"/>
      </w:tblPr>
      <w:tblGrid>
        <w:gridCol w:w="3397"/>
        <w:gridCol w:w="1843"/>
        <w:gridCol w:w="1796"/>
        <w:gridCol w:w="2026"/>
      </w:tblGrid>
      <w:tr w:rsidR="004E0669" w:rsidRPr="007E08F7" w14:paraId="5E23EF35" w14:textId="77777777" w:rsidTr="0080233A">
        <w:trPr>
          <w:tblHeader/>
        </w:trPr>
        <w:tc>
          <w:tcPr>
            <w:tcW w:w="1874" w:type="pct"/>
            <w:tcBorders>
              <w:right w:val="single" w:sz="4" w:space="0" w:color="FFFFFF" w:themeColor="background1"/>
            </w:tcBorders>
            <w:shd w:val="clear" w:color="auto" w:fill="153D63" w:themeFill="text2" w:themeFillTint="E6"/>
            <w:vAlign w:val="center"/>
          </w:tcPr>
          <w:p w14:paraId="2848C237" w14:textId="77777777" w:rsidR="004E0669" w:rsidRPr="007E08F7" w:rsidRDefault="004E0669"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1017" w:type="pct"/>
            <w:tcBorders>
              <w:left w:val="single" w:sz="4" w:space="0" w:color="FFFFFF" w:themeColor="background1"/>
              <w:right w:val="single" w:sz="4" w:space="0" w:color="FFFFFF" w:themeColor="background1"/>
            </w:tcBorders>
            <w:shd w:val="clear" w:color="auto" w:fill="153D63" w:themeFill="text2" w:themeFillTint="E6"/>
            <w:vAlign w:val="center"/>
          </w:tcPr>
          <w:p w14:paraId="0A4F89E1" w14:textId="77777777" w:rsidR="004E0669" w:rsidRPr="007E08F7" w:rsidRDefault="004E0669"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 xml:space="preserve">Wartość </w:t>
            </w:r>
            <w:r w:rsidRPr="007E08F7">
              <w:rPr>
                <w:rFonts w:eastAsia="Aptos" w:cs="Calibri"/>
                <w:b/>
                <w:color w:val="FFFFFF" w:themeColor="background1"/>
                <w:kern w:val="2"/>
                <w14:ligatures w14:val="standardContextual"/>
              </w:rPr>
              <w:br/>
              <w:t>bazowa</w:t>
            </w:r>
          </w:p>
        </w:tc>
        <w:tc>
          <w:tcPr>
            <w:tcW w:w="991" w:type="pct"/>
            <w:tcBorders>
              <w:left w:val="single" w:sz="4" w:space="0" w:color="FFFFFF" w:themeColor="background1"/>
              <w:right w:val="single" w:sz="4" w:space="0" w:color="FFFFFF" w:themeColor="background1"/>
            </w:tcBorders>
            <w:shd w:val="clear" w:color="auto" w:fill="153D63" w:themeFill="text2" w:themeFillTint="E6"/>
            <w:vAlign w:val="center"/>
          </w:tcPr>
          <w:p w14:paraId="286944AC" w14:textId="77777777" w:rsidR="004E0669" w:rsidRPr="007E08F7" w:rsidRDefault="004E0669"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1118" w:type="pct"/>
            <w:tcBorders>
              <w:left w:val="single" w:sz="4" w:space="0" w:color="FFFFFF" w:themeColor="background1"/>
            </w:tcBorders>
            <w:shd w:val="clear" w:color="auto" w:fill="153D63" w:themeFill="text2" w:themeFillTint="E6"/>
            <w:vAlign w:val="center"/>
          </w:tcPr>
          <w:p w14:paraId="697C3C58" w14:textId="77777777" w:rsidR="004E0669" w:rsidRPr="007E08F7" w:rsidRDefault="004E0669"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4E0669" w:rsidRPr="007E08F7" w14:paraId="00164D91" w14:textId="77777777" w:rsidTr="0080233A">
        <w:trPr>
          <w:trHeight w:val="350"/>
        </w:trPr>
        <w:tc>
          <w:tcPr>
            <w:tcW w:w="1874" w:type="pct"/>
            <w:vAlign w:val="center"/>
          </w:tcPr>
          <w:p w14:paraId="239CAC08" w14:textId="324723A8" w:rsidR="004E0669" w:rsidRPr="007E08F7" w:rsidRDefault="004E0669" w:rsidP="0080233A">
            <w:pPr>
              <w:spacing w:after="120" w:line="276" w:lineRule="auto"/>
              <w:rPr>
                <w:rFonts w:eastAsia="Aptos" w:cs="Calibri"/>
                <w:bCs/>
                <w:kern w:val="2"/>
                <w14:ligatures w14:val="standardContextual"/>
              </w:rPr>
            </w:pPr>
            <w:r w:rsidRPr="007E08F7">
              <w:rPr>
                <w:rFonts w:eastAsia="Aptos" w:cs="Calibri"/>
                <w:kern w:val="2"/>
                <w14:ligatures w14:val="standardContextual"/>
              </w:rPr>
              <w:t>Liczba widzów i słuchaczy w</w:t>
            </w:r>
            <w:r w:rsidR="0080233A" w:rsidRPr="007E08F7">
              <w:rPr>
                <w:rFonts w:eastAsia="Aptos" w:cs="Calibri"/>
                <w:kern w:val="2"/>
                <w14:ligatures w14:val="standardContextual"/>
              </w:rPr>
              <w:t> </w:t>
            </w:r>
            <w:r w:rsidRPr="007E08F7">
              <w:rPr>
                <w:rFonts w:eastAsia="Aptos" w:cs="Calibri"/>
                <w:kern w:val="2"/>
                <w14:ligatures w14:val="standardContextual"/>
              </w:rPr>
              <w:t>instytucjach kultury na</w:t>
            </w:r>
            <w:r w:rsidR="0080233A" w:rsidRPr="007E08F7">
              <w:rPr>
                <w:rFonts w:eastAsia="Aptos" w:cs="Calibri"/>
                <w:kern w:val="2"/>
                <w14:ligatures w14:val="standardContextual"/>
              </w:rPr>
              <w:t> </w:t>
            </w:r>
            <w:r w:rsidRPr="007E08F7">
              <w:rPr>
                <w:rFonts w:eastAsia="Aptos" w:cs="Calibri"/>
                <w:kern w:val="2"/>
                <w14:ligatures w14:val="standardContextual"/>
              </w:rPr>
              <w:t>1000</w:t>
            </w:r>
            <w:r w:rsidR="0080233A" w:rsidRPr="007E08F7">
              <w:rPr>
                <w:rFonts w:eastAsia="Aptos" w:cs="Calibri"/>
                <w:kern w:val="2"/>
                <w14:ligatures w14:val="standardContextual"/>
              </w:rPr>
              <w:t> </w:t>
            </w:r>
            <w:r w:rsidRPr="007E08F7">
              <w:rPr>
                <w:rFonts w:eastAsia="Aptos" w:cs="Calibri"/>
                <w:kern w:val="2"/>
                <w14:ligatures w14:val="standardContextual"/>
              </w:rPr>
              <w:t>mieszkańców</w:t>
            </w:r>
          </w:p>
        </w:tc>
        <w:tc>
          <w:tcPr>
            <w:tcW w:w="1017" w:type="pct"/>
            <w:vAlign w:val="center"/>
          </w:tcPr>
          <w:p w14:paraId="4C807856"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723</w:t>
            </w:r>
          </w:p>
          <w:p w14:paraId="77955561"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(2025)</w:t>
            </w:r>
          </w:p>
        </w:tc>
        <w:tc>
          <w:tcPr>
            <w:tcW w:w="991" w:type="pct"/>
            <w:vAlign w:val="center"/>
          </w:tcPr>
          <w:p w14:paraId="36F957C9"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1118" w:type="pct"/>
            <w:vAlign w:val="center"/>
          </w:tcPr>
          <w:p w14:paraId="16A98314"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 podstawie danych GUS</w:t>
            </w:r>
          </w:p>
        </w:tc>
      </w:tr>
      <w:tr w:rsidR="004E0669" w:rsidRPr="007E08F7" w14:paraId="5C453203" w14:textId="77777777" w:rsidTr="0080233A">
        <w:trPr>
          <w:trHeight w:val="350"/>
        </w:trPr>
        <w:tc>
          <w:tcPr>
            <w:tcW w:w="1874" w:type="pct"/>
            <w:vAlign w:val="center"/>
          </w:tcPr>
          <w:p w14:paraId="72AA6919" w14:textId="239B384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Odsetek pacjentów spoza</w:t>
            </w:r>
            <w:r w:rsidR="0080233A" w:rsidRPr="007E08F7">
              <w:rPr>
                <w:rFonts w:eastAsia="Aptos" w:cs="Calibri"/>
                <w:kern w:val="2"/>
                <w14:ligatures w14:val="standardContextual"/>
              </w:rPr>
              <w:t> </w:t>
            </w:r>
            <w:r w:rsidRPr="007E08F7">
              <w:rPr>
                <w:rFonts w:eastAsia="Aptos" w:cs="Calibri"/>
                <w:kern w:val="2"/>
                <w14:ligatures w14:val="standardContextual"/>
              </w:rPr>
              <w:t>województwa korzystających ze</w:t>
            </w:r>
            <w:r w:rsidR="0080233A" w:rsidRPr="007E08F7">
              <w:rPr>
                <w:rFonts w:eastAsia="Aptos" w:cs="Calibri"/>
                <w:kern w:val="2"/>
                <w14:ligatures w14:val="standardContextual"/>
              </w:rPr>
              <w:t> </w:t>
            </w:r>
            <w:r w:rsidRPr="007E08F7">
              <w:rPr>
                <w:rFonts w:eastAsia="Aptos" w:cs="Calibri"/>
                <w:kern w:val="2"/>
                <w14:ligatures w14:val="standardContextual"/>
              </w:rPr>
              <w:t>świadczeń w</w:t>
            </w:r>
            <w:r w:rsidR="0080233A" w:rsidRPr="007E08F7">
              <w:rPr>
                <w:rFonts w:eastAsia="Aptos" w:cs="Calibri"/>
                <w:kern w:val="2"/>
                <w14:ligatures w14:val="standardContextual"/>
              </w:rPr>
              <w:t> </w:t>
            </w:r>
            <w:r w:rsidRPr="007E08F7">
              <w:rPr>
                <w:rFonts w:eastAsia="Aptos" w:cs="Calibri"/>
                <w:kern w:val="2"/>
                <w14:ligatures w14:val="standardContextual"/>
              </w:rPr>
              <w:t>wybranych szpitalach wielospecjalistycznych</w:t>
            </w:r>
          </w:p>
        </w:tc>
        <w:tc>
          <w:tcPr>
            <w:tcW w:w="1017" w:type="pct"/>
            <w:vAlign w:val="center"/>
          </w:tcPr>
          <w:p w14:paraId="0E8ED17B"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991" w:type="pct"/>
            <w:vAlign w:val="center"/>
          </w:tcPr>
          <w:p w14:paraId="18072471"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1118" w:type="pct"/>
            <w:vAlign w:val="center"/>
          </w:tcPr>
          <w:p w14:paraId="650DC4D6"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 podstawie danych NFZ</w:t>
            </w:r>
          </w:p>
        </w:tc>
      </w:tr>
      <w:tr w:rsidR="004E0669" w:rsidRPr="007E08F7" w14:paraId="4295D3CB" w14:textId="77777777" w:rsidTr="0080233A">
        <w:trPr>
          <w:trHeight w:val="271"/>
        </w:trPr>
        <w:tc>
          <w:tcPr>
            <w:tcW w:w="1874" w:type="pct"/>
            <w:vAlign w:val="center"/>
          </w:tcPr>
          <w:p w14:paraId="659C88FC"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Odsetek studentów cudzoziemców w ogólnej liczbie studentów </w:t>
            </w:r>
          </w:p>
        </w:tc>
        <w:tc>
          <w:tcPr>
            <w:tcW w:w="1017" w:type="pct"/>
            <w:vAlign w:val="center"/>
          </w:tcPr>
          <w:p w14:paraId="41401AF7"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4,6%</w:t>
            </w:r>
          </w:p>
          <w:p w14:paraId="53575364"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(2025)</w:t>
            </w:r>
          </w:p>
        </w:tc>
        <w:tc>
          <w:tcPr>
            <w:tcW w:w="991" w:type="pct"/>
            <w:vAlign w:val="center"/>
          </w:tcPr>
          <w:p w14:paraId="5826FF1D"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1118" w:type="pct"/>
            <w:vAlign w:val="center"/>
          </w:tcPr>
          <w:p w14:paraId="6B15E8EE" w14:textId="77777777" w:rsidR="004E0669" w:rsidRPr="007E08F7" w:rsidRDefault="004E0669" w:rsidP="0080233A">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 podstawie danych radon.nauka.gov.pl</w:t>
            </w:r>
          </w:p>
        </w:tc>
      </w:tr>
      <w:tr w:rsidR="004E0669" w:rsidRPr="007E08F7" w14:paraId="3BFB9E4E" w14:textId="77777777" w:rsidTr="0080233A">
        <w:trPr>
          <w:trHeight w:val="271"/>
        </w:trPr>
        <w:tc>
          <w:tcPr>
            <w:tcW w:w="1874" w:type="pct"/>
            <w:vAlign w:val="center"/>
          </w:tcPr>
          <w:p w14:paraId="08EAEACA" w14:textId="77777777" w:rsidR="004E0669" w:rsidRPr="007E08F7" w:rsidRDefault="004E0669" w:rsidP="0080233A">
            <w:pPr>
              <w:spacing w:after="120" w:line="276" w:lineRule="auto"/>
              <w:rPr>
                <w:rFonts w:eastAsia="Aptos"/>
              </w:rPr>
            </w:pPr>
            <w:r w:rsidRPr="007E08F7">
              <w:rPr>
                <w:rFonts w:eastAsia="Aptos"/>
              </w:rPr>
              <w:t>Odsetek mieszkańców zamieszkałych na obszarze standardowej czasowej dostępności transportem zbiorowym Gdańska (60 minut)</w:t>
            </w:r>
          </w:p>
        </w:tc>
        <w:tc>
          <w:tcPr>
            <w:tcW w:w="1017" w:type="pct"/>
            <w:vAlign w:val="center"/>
          </w:tcPr>
          <w:p w14:paraId="373E0B45" w14:textId="77777777" w:rsidR="004E0669" w:rsidRPr="007E08F7" w:rsidRDefault="004E0669" w:rsidP="0080233A">
            <w:pPr>
              <w:spacing w:after="120" w:line="276" w:lineRule="auto"/>
              <w:rPr>
                <w:rFonts w:eastAsia="Aptos"/>
              </w:rPr>
            </w:pPr>
            <w:r w:rsidRPr="007E08F7">
              <w:rPr>
                <w:rFonts w:eastAsia="Aptos"/>
              </w:rPr>
              <w:t>51%</w:t>
            </w:r>
            <w:r w:rsidRPr="007E08F7">
              <w:rPr>
                <w:rFonts w:eastAsia="Aptos"/>
              </w:rPr>
              <w:br/>
              <w:t>(2024)</w:t>
            </w:r>
          </w:p>
        </w:tc>
        <w:tc>
          <w:tcPr>
            <w:tcW w:w="991" w:type="pct"/>
            <w:vAlign w:val="center"/>
          </w:tcPr>
          <w:p w14:paraId="62431F45" w14:textId="77777777" w:rsidR="004E0669" w:rsidRPr="007E08F7" w:rsidRDefault="004E0669" w:rsidP="0080233A">
            <w:pPr>
              <w:spacing w:after="120" w:line="276" w:lineRule="auto"/>
              <w:rPr>
                <w:rFonts w:eastAsia="Aptos"/>
              </w:rPr>
            </w:pPr>
            <w:r w:rsidRPr="007E08F7">
              <w:rPr>
                <w:rFonts w:eastAsia="Aptos" w:cs="Aptos"/>
                <w:kern w:val="2"/>
                <w14:ligatures w14:val="standardContextual"/>
              </w:rPr>
              <w:t>do uzupełnienia</w:t>
            </w:r>
          </w:p>
        </w:tc>
        <w:tc>
          <w:tcPr>
            <w:tcW w:w="1118" w:type="pct"/>
            <w:vAlign w:val="center"/>
          </w:tcPr>
          <w:p w14:paraId="441385AA" w14:textId="77777777" w:rsidR="004E0669" w:rsidRPr="007E08F7" w:rsidRDefault="004E0669" w:rsidP="0080233A">
            <w:pPr>
              <w:spacing w:after="120" w:line="276" w:lineRule="auto"/>
              <w:rPr>
                <w:rFonts w:eastAsia="Aptos"/>
              </w:rPr>
            </w:pPr>
            <w:r w:rsidRPr="007E08F7">
              <w:rPr>
                <w:rFonts w:eastAsia="Aptos" w:cs="Aptos"/>
                <w:kern w:val="2"/>
                <w14:ligatures w14:val="standardContextual"/>
              </w:rPr>
              <w:t>PBPR</w:t>
            </w:r>
          </w:p>
        </w:tc>
      </w:tr>
    </w:tbl>
    <w:p w14:paraId="0964161B" w14:textId="757882FD" w:rsidR="00ED14F1" w:rsidRPr="007E08F7" w:rsidRDefault="00ED14F1" w:rsidP="00ED14F1">
      <w:pPr>
        <w:spacing w:before="120" w:after="120" w:line="288" w:lineRule="auto"/>
        <w:rPr>
          <w:rFonts w:cstheme="minorHAnsi"/>
        </w:rPr>
      </w:pPr>
      <w:r w:rsidRPr="007E08F7">
        <w:rPr>
          <w:rFonts w:cstheme="minorHAnsi"/>
          <w:b/>
          <w:bCs/>
        </w:rPr>
        <w:br w:type="page"/>
      </w:r>
    </w:p>
    <w:p w14:paraId="5FB0C497" w14:textId="77777777" w:rsidR="00ED14F1" w:rsidRPr="007E08F7" w:rsidRDefault="00ED14F1" w:rsidP="002F715A">
      <w:pPr>
        <w:pStyle w:val="Nagwek3"/>
        <w:rPr>
          <w:rFonts w:eastAsia="Aptos"/>
        </w:rPr>
      </w:pPr>
      <w:bookmarkStart w:id="65" w:name="_Toc239772092"/>
      <w:r w:rsidRPr="007E08F7">
        <w:rPr>
          <w:rFonts w:eastAsia="Aptos"/>
        </w:rPr>
        <w:lastRenderedPageBreak/>
        <w:t>Cel operacyjny 3.2. Nowoczesna lokalność</w:t>
      </w:r>
      <w:bookmarkEnd w:id="65"/>
    </w:p>
    <w:p w14:paraId="1B72AE96" w14:textId="093102E2" w:rsidR="00ED14F1" w:rsidRPr="007E08F7" w:rsidRDefault="00ED14F1" w:rsidP="00D447C3">
      <w:pPr>
        <w:pStyle w:val="Nagwek4"/>
        <w:rPr>
          <w:rFonts w:eastAsia="Aptos"/>
          <w:iCs w:val="0"/>
        </w:rPr>
      </w:pPr>
      <w:r w:rsidRPr="007E08F7">
        <w:rPr>
          <w:rFonts w:eastAsia="Aptos"/>
          <w:iCs w:val="0"/>
        </w:rPr>
        <w:t>Przesłanki realizacji Celu operacyjnego</w:t>
      </w:r>
      <w:r w:rsidR="0024620F" w:rsidRPr="007E08F7">
        <w:rPr>
          <w:rFonts w:eastAsia="Aptos"/>
          <w:iCs w:val="0"/>
        </w:rPr>
        <w:t xml:space="preserve"> 3.2</w:t>
      </w:r>
    </w:p>
    <w:p w14:paraId="5919F216" w14:textId="48DB36EE" w:rsidR="005A521F" w:rsidRPr="007E08F7" w:rsidRDefault="00ED14F1" w:rsidP="005A521F">
      <w:pPr>
        <w:spacing w:before="120" w:after="120" w:line="288" w:lineRule="auto"/>
        <w:rPr>
          <w:rFonts w:eastAsia="Aptos"/>
        </w:rPr>
      </w:pPr>
      <w:r w:rsidRPr="007E08F7">
        <w:rPr>
          <w:rFonts w:eastAsia="Aptos"/>
        </w:rPr>
        <w:t>Nowoczesna</w:t>
      </w:r>
      <w:r w:rsidR="005A521F" w:rsidRPr="007E08F7">
        <w:rPr>
          <w:rFonts w:eastAsia="Aptos"/>
        </w:rPr>
        <w:t xml:space="preserve"> lokalność to tworzenie miejsc z powszechnym dostępem do wysokiej jakości usług publicznych, które odpowiadają na potrzeby mieszkańców na wszystkich etapach życia oraz z gospodarką rozwijającą się dzięki wykorzystaniu własnych potencjałów, innowacyjności i współpracy. </w:t>
      </w:r>
    </w:p>
    <w:p w14:paraId="536909FC" w14:textId="42112777" w:rsidR="005A521F" w:rsidRPr="007E08F7" w:rsidRDefault="005A521F" w:rsidP="005A521F">
      <w:pPr>
        <w:spacing w:before="120" w:after="120" w:line="288" w:lineRule="auto"/>
        <w:rPr>
          <w:rFonts w:eastAsia="Aptos"/>
        </w:rPr>
      </w:pPr>
      <w:r w:rsidRPr="007E08F7">
        <w:rPr>
          <w:rFonts w:eastAsia="Aptos"/>
        </w:rPr>
        <w:t>W procesie rozwijania usług publicznych na poziomie lokalnym niezbędne jest zwiększanie szans edukacyjnych dzieci i młodzieży, przede wszystkim poprzez zapewnienie oferty edukacyjnej wysokiej jakości. Edukacja jest jednym z</w:t>
      </w:r>
      <w:r w:rsidR="00396E36" w:rsidRPr="007E08F7">
        <w:rPr>
          <w:rFonts w:eastAsia="Aptos"/>
        </w:rPr>
        <w:t> </w:t>
      </w:r>
      <w:r w:rsidRPr="007E08F7">
        <w:rPr>
          <w:rFonts w:eastAsia="Aptos"/>
        </w:rPr>
        <w:t>najważniejszych narzędzi budowania długofalowego potencjału społecznego regionu. Nie tylko poprzez przygotowanie dzieci i młodzieży do funkcjonowania na rynku pracy, ale także poprzez rozwijanie ich samodzielności, kompetencji społecznych i poczucia sprawczości. Wymaga to wzmacniania roli przedszkoli i szkół jako miejsc zapewniających równe szanse rozwoju.</w:t>
      </w:r>
    </w:p>
    <w:p w14:paraId="7FB0FA22" w14:textId="77777777" w:rsidR="005A521F" w:rsidRPr="007E08F7" w:rsidRDefault="005A521F" w:rsidP="005A521F">
      <w:pPr>
        <w:spacing w:before="120" w:after="120" w:line="288" w:lineRule="auto"/>
        <w:rPr>
          <w:rFonts w:eastAsia="Aptos"/>
        </w:rPr>
      </w:pPr>
      <w:r w:rsidRPr="007E08F7">
        <w:rPr>
          <w:rFonts w:eastAsia="Aptos"/>
        </w:rPr>
        <w:t>Istotnym elementem nowoczesnej lokalności jest również tworzenie warunków sprzyjających zdrowiu i aktywności fizycznej mieszkańców. Wymaga to rozwijania lokalnej oferty ochrony zdrowia oraz sportu i rekreacji, dostosowanej do potrzeb różnych grup wieku i możliwości mieszkańców. Szczególne znaczenie odgrywa powszechna dostępność podstawowej opieki zdrowotnej oraz ambulatoryjnej opieki specjalistycznej. Ważny jest także rozwój bezpiecznych i atrakcyjnych miejsc do aktywności fizycznej – zarówno zorganizowanej, jak i podejmowanej indywidualnie.</w:t>
      </w:r>
    </w:p>
    <w:p w14:paraId="4378F8A4" w14:textId="77777777" w:rsidR="005A521F" w:rsidRPr="007E08F7" w:rsidRDefault="005A521F" w:rsidP="005A521F">
      <w:pPr>
        <w:spacing w:before="120" w:after="120" w:line="288" w:lineRule="auto"/>
        <w:rPr>
          <w:rFonts w:eastAsia="Aptos"/>
        </w:rPr>
      </w:pPr>
      <w:r w:rsidRPr="007E08F7">
        <w:rPr>
          <w:rFonts w:eastAsia="Aptos"/>
        </w:rPr>
        <w:t xml:space="preserve">Elementem usług publicznych jest transformacja energetyczna i jej wdrażanie poprzez poprawę efektywności energetycznej na poziomie lokalnym, wspieranie energetyki </w:t>
      </w:r>
      <w:proofErr w:type="spellStart"/>
      <w:r w:rsidRPr="007E08F7">
        <w:rPr>
          <w:rFonts w:eastAsia="Aptos"/>
        </w:rPr>
        <w:t>prosumenckiej</w:t>
      </w:r>
      <w:proofErr w:type="spellEnd"/>
      <w:r w:rsidRPr="007E08F7">
        <w:rPr>
          <w:rFonts w:eastAsia="Aptos"/>
        </w:rPr>
        <w:t xml:space="preserve"> oraz społeczności energetycznych, a także wdrażanie nowoczesnych rozwiązań w zaopatrzeniu w ciepło. Działania te powinny uwzględniać potrzebę zmniejszania ubóstwa energetycznego na danym terenie. </w:t>
      </w:r>
    </w:p>
    <w:p w14:paraId="12E78306" w14:textId="2B461F78" w:rsidR="005A521F" w:rsidRPr="007E08F7" w:rsidRDefault="005A521F" w:rsidP="005A521F">
      <w:pPr>
        <w:spacing w:before="120" w:after="120" w:line="288" w:lineRule="auto"/>
        <w:rPr>
          <w:rFonts w:eastAsia="Aptos"/>
        </w:rPr>
      </w:pPr>
      <w:r w:rsidRPr="007E08F7">
        <w:rPr>
          <w:rFonts w:eastAsia="Aptos"/>
        </w:rPr>
        <w:t>Istotny potencjał rozwojowy posiada także gospodarka o obiegu zamkniętym, której rozwiązania mogą być efektywnie wykorzystywane zarówno w zagospodarowaniu odpadów komunalnych</w:t>
      </w:r>
      <w:r w:rsidR="00226C60" w:rsidRPr="007E08F7">
        <w:rPr>
          <w:rFonts w:eastAsia="Aptos"/>
        </w:rPr>
        <w:t>,</w:t>
      </w:r>
      <w:r w:rsidRPr="007E08F7">
        <w:rPr>
          <w:rFonts w:eastAsia="Aptos"/>
        </w:rPr>
        <w:t xml:space="preserve"> jak i w działalności przedsiębiorstw.</w:t>
      </w:r>
    </w:p>
    <w:p w14:paraId="569A2FAE" w14:textId="24C54FBC" w:rsidR="005A521F" w:rsidRPr="007E08F7" w:rsidRDefault="005A521F" w:rsidP="005A521F">
      <w:pPr>
        <w:spacing w:before="120" w:after="120" w:line="288" w:lineRule="auto"/>
        <w:rPr>
          <w:rFonts w:eastAsia="Aptos"/>
        </w:rPr>
      </w:pPr>
      <w:r w:rsidRPr="007E08F7">
        <w:rPr>
          <w:rFonts w:eastAsia="Aptos"/>
        </w:rPr>
        <w:t>Zwiększanie atrakcyjności poszczególnych obszarów województwa to również tworzenie silnej, lokalnej bazy ekonomicznej. Wymaga to bardziej ukierunkowanego i</w:t>
      </w:r>
      <w:r w:rsidR="002455C8" w:rsidRPr="007E08F7">
        <w:rPr>
          <w:rFonts w:eastAsia="Aptos"/>
        </w:rPr>
        <w:t> </w:t>
      </w:r>
      <w:r w:rsidRPr="007E08F7">
        <w:rPr>
          <w:rFonts w:eastAsia="Aptos"/>
        </w:rPr>
        <w:t xml:space="preserve">indywidualnego podejścia oraz głębszej współpracy interesariuszy. Wzmacniane będzie wykorzystanie lokalnych specjalizacji i potencjałów, w których dany obszar posiada przewagi konkurencyjne wynikające w szczególności z: zasobów naturalnych, dostępnych źródeł energii, kapitału ludzkiego, tradycji gospodarczych, zaplecza badawczo-rozwojowego oraz położenia. Szczególnie istotne potencjały lokalne to m.in.: </w:t>
      </w:r>
      <w:r w:rsidRPr="007E08F7">
        <w:rPr>
          <w:rFonts w:eastAsia="Aptos"/>
        </w:rPr>
        <w:lastRenderedPageBreak/>
        <w:t>energetyka, w szczególności odnawialna, turystyka, w tym prozdrowotna, rolnictwo i</w:t>
      </w:r>
      <w:r w:rsidR="002455C8" w:rsidRPr="007E08F7">
        <w:rPr>
          <w:rFonts w:eastAsia="Aptos"/>
        </w:rPr>
        <w:t> </w:t>
      </w:r>
      <w:r w:rsidRPr="007E08F7">
        <w:rPr>
          <w:rFonts w:eastAsia="Aptos"/>
        </w:rPr>
        <w:t>produkcja żywności oraz sektory związane z zieloną transformacją.</w:t>
      </w:r>
    </w:p>
    <w:p w14:paraId="74241062" w14:textId="77777777" w:rsidR="005A521F" w:rsidRPr="007E08F7" w:rsidRDefault="005A521F" w:rsidP="005A521F">
      <w:pPr>
        <w:spacing w:before="120" w:after="120" w:line="288" w:lineRule="auto"/>
        <w:rPr>
          <w:rFonts w:eastAsia="Aptos"/>
        </w:rPr>
      </w:pPr>
      <w:r w:rsidRPr="007E08F7">
        <w:rPr>
          <w:rFonts w:eastAsia="Aptos"/>
        </w:rPr>
        <w:t xml:space="preserve">Na obszarach wiejskich oraz w małych miastach wsparcia wymaga także rozwój infrastruktury stałego, szerokopasmowego dostępu do </w:t>
      </w:r>
      <w:proofErr w:type="spellStart"/>
      <w:r w:rsidRPr="007E08F7">
        <w:rPr>
          <w:rFonts w:eastAsia="Aptos"/>
        </w:rPr>
        <w:t>internetu</w:t>
      </w:r>
      <w:proofErr w:type="spellEnd"/>
      <w:r w:rsidRPr="007E08F7">
        <w:rPr>
          <w:rFonts w:eastAsia="Aptos"/>
        </w:rPr>
        <w:t xml:space="preserve">, co przyczyni się zarówno do zwiększenia oferty i dostępności usług publicznych, jak i ułatwi prowadzenie działalności gospodarczej. </w:t>
      </w:r>
    </w:p>
    <w:p w14:paraId="26956834" w14:textId="2016CAB3" w:rsidR="005A521F" w:rsidRPr="007E08F7" w:rsidRDefault="005A521F" w:rsidP="00D447C3">
      <w:pPr>
        <w:pStyle w:val="Nagwek4"/>
        <w:rPr>
          <w:rFonts w:eastAsia="Aptos"/>
          <w:iCs w:val="0"/>
        </w:rPr>
      </w:pPr>
      <w:r w:rsidRPr="007E08F7">
        <w:rPr>
          <w:rFonts w:eastAsia="Aptos"/>
          <w:iCs w:val="0"/>
        </w:rPr>
        <w:t xml:space="preserve">Ukierunkowanie tematyczne </w:t>
      </w:r>
      <w:r w:rsidR="0024620F" w:rsidRPr="007E08F7">
        <w:rPr>
          <w:iCs w:val="0"/>
        </w:rPr>
        <w:t xml:space="preserve">CO 3.2 </w:t>
      </w:r>
      <w:r w:rsidR="0024620F" w:rsidRPr="007E08F7">
        <w:rPr>
          <w:iCs w:val="0"/>
        </w:rPr>
        <w:br/>
      </w:r>
      <w:r w:rsidRPr="007E08F7">
        <w:rPr>
          <w:rFonts w:eastAsia="Aptos"/>
          <w:iCs w:val="0"/>
        </w:rPr>
        <w:t>(kluczowe kierunki interwencji i działania)</w:t>
      </w:r>
    </w:p>
    <w:p w14:paraId="4CCB5C3F" w14:textId="77777777" w:rsidR="005A521F" w:rsidRPr="007E08F7" w:rsidRDefault="005A521F" w:rsidP="005A521F">
      <w:pPr>
        <w:spacing w:before="120" w:after="120" w:line="288" w:lineRule="auto"/>
        <w:rPr>
          <w:rFonts w:eastAsia="Aptos"/>
        </w:rPr>
      </w:pPr>
      <w:r w:rsidRPr="007E08F7">
        <w:rPr>
          <w:rFonts w:eastAsia="Aptos"/>
          <w:b/>
          <w:bCs/>
        </w:rPr>
        <w:t>3.2.1</w:t>
      </w:r>
      <w:r w:rsidRPr="007E08F7">
        <w:rPr>
          <w:rFonts w:eastAsia="Aptos"/>
          <w:b/>
          <w:bCs/>
        </w:rPr>
        <w:br/>
      </w:r>
      <w:r w:rsidRPr="007E08F7">
        <w:rPr>
          <w:rFonts w:eastAsia="Aptos"/>
        </w:rPr>
        <w:t xml:space="preserve">Zapewnienie szerokiej oferty edukacyjnej (w tym przedszkolnej i włączającej) na poziomie lokalnym. </w:t>
      </w:r>
    </w:p>
    <w:p w14:paraId="309EB00F" w14:textId="77777777" w:rsidR="005A521F" w:rsidRPr="007E08F7" w:rsidRDefault="005A521F" w:rsidP="005A521F">
      <w:pPr>
        <w:spacing w:before="120" w:after="120" w:line="288" w:lineRule="auto"/>
        <w:rPr>
          <w:rFonts w:eastAsia="Aptos"/>
        </w:rPr>
      </w:pPr>
      <w:r w:rsidRPr="007E08F7">
        <w:rPr>
          <w:rFonts w:eastAsia="Aptos"/>
          <w:b/>
          <w:bCs/>
        </w:rPr>
        <w:t>3.2.2</w:t>
      </w:r>
      <w:r w:rsidRPr="007E08F7">
        <w:rPr>
          <w:rFonts w:eastAsia="Aptos"/>
        </w:rPr>
        <w:br/>
        <w:t>Wzmacnianie lokalnej opieki zdrowotnej i tworzenie warunków sprzyjających aktywności fizycznej mieszkańców.</w:t>
      </w:r>
    </w:p>
    <w:p w14:paraId="52D4FAC0" w14:textId="77777777" w:rsidR="005A521F" w:rsidRPr="007E08F7" w:rsidRDefault="005A521F" w:rsidP="005A521F">
      <w:pPr>
        <w:spacing w:before="120" w:after="120" w:line="288" w:lineRule="auto"/>
        <w:rPr>
          <w:rFonts w:eastAsia="Aptos" w:cs="Aptos"/>
        </w:rPr>
      </w:pPr>
      <w:r w:rsidRPr="007E08F7">
        <w:rPr>
          <w:rFonts w:eastAsia="Aptos"/>
          <w:b/>
          <w:bCs/>
        </w:rPr>
        <w:t>3.2.3</w:t>
      </w:r>
      <w:r w:rsidRPr="007E08F7">
        <w:rPr>
          <w:rFonts w:eastAsia="Aptos"/>
        </w:rPr>
        <w:br/>
      </w:r>
      <w:r w:rsidRPr="007E08F7">
        <w:rPr>
          <w:rFonts w:eastAsia="Aptos" w:cs="Aptos"/>
        </w:rPr>
        <w:t>Transformacja energetyczna i gospodarka o obiegu zamkniętym na rzecz wzmacniania lokalnych społeczności.</w:t>
      </w:r>
    </w:p>
    <w:p w14:paraId="4FA486A5" w14:textId="77777777" w:rsidR="005A521F" w:rsidRPr="007E08F7" w:rsidRDefault="005A521F" w:rsidP="005A521F">
      <w:pPr>
        <w:spacing w:before="120" w:after="120" w:line="288" w:lineRule="auto"/>
        <w:rPr>
          <w:rFonts w:eastAsia="Aptos" w:cs="Aptos"/>
        </w:rPr>
      </w:pPr>
      <w:r w:rsidRPr="007E08F7">
        <w:rPr>
          <w:rFonts w:eastAsia="Aptos" w:cs="Aptos"/>
          <w:b/>
          <w:bCs/>
        </w:rPr>
        <w:t>3.2.4</w:t>
      </w:r>
      <w:r w:rsidRPr="007E08F7">
        <w:rPr>
          <w:rFonts w:eastAsia="Aptos"/>
        </w:rPr>
        <w:br/>
      </w:r>
      <w:r w:rsidRPr="007E08F7">
        <w:rPr>
          <w:rFonts w:eastAsia="Aptos" w:cs="Aptos"/>
        </w:rPr>
        <w:t>Rozwijanie przedsiębiorczości na bazie wykorzystania lokalnych potencjałów.</w:t>
      </w:r>
    </w:p>
    <w:p w14:paraId="75CE3B2F" w14:textId="16209818" w:rsidR="005A521F" w:rsidRPr="007E08F7" w:rsidRDefault="005A521F" w:rsidP="00D447C3">
      <w:pPr>
        <w:pStyle w:val="Nagwek4"/>
        <w:rPr>
          <w:rFonts w:eastAsia="Aptos"/>
          <w:iCs w:val="0"/>
        </w:rPr>
      </w:pPr>
      <w:r w:rsidRPr="007E08F7">
        <w:rPr>
          <w:rFonts w:eastAsia="Aptos"/>
          <w:iCs w:val="0"/>
        </w:rPr>
        <w:t>Ukierunkowanie terytorialne</w:t>
      </w:r>
      <w:r w:rsidR="0024620F" w:rsidRPr="007E08F7">
        <w:rPr>
          <w:iCs w:val="0"/>
        </w:rPr>
        <w:t xml:space="preserve"> CO 3.2</w:t>
      </w:r>
    </w:p>
    <w:p w14:paraId="03C172B6" w14:textId="77777777" w:rsidR="005A521F" w:rsidRPr="007E08F7" w:rsidRDefault="005A521F" w:rsidP="005A521F">
      <w:pPr>
        <w:spacing w:before="120" w:after="120" w:line="288" w:lineRule="auto"/>
        <w:rPr>
          <w:rFonts w:eastAsia="Aptos" w:cs="Aptos"/>
        </w:rPr>
      </w:pPr>
      <w:r w:rsidRPr="007E08F7">
        <w:rPr>
          <w:rFonts w:eastAsia="Aptos" w:cs="Aptos"/>
        </w:rPr>
        <w:t>Miasta i obszary wiejskie poza obszarem metropolitalnym.</w:t>
      </w:r>
    </w:p>
    <w:p w14:paraId="2F5A74AE" w14:textId="31BB737C" w:rsidR="005A521F" w:rsidRPr="007E08F7" w:rsidRDefault="005A521F" w:rsidP="00D447C3">
      <w:pPr>
        <w:pStyle w:val="Nagwek4"/>
        <w:rPr>
          <w:rFonts w:eastAsia="Aptos"/>
          <w:iCs w:val="0"/>
        </w:rPr>
      </w:pPr>
      <w:r w:rsidRPr="007E08F7">
        <w:rPr>
          <w:rFonts w:eastAsia="Aptos"/>
          <w:iCs w:val="0"/>
        </w:rPr>
        <w:t>Oczekiwane rezultaty</w:t>
      </w:r>
      <w:r w:rsidR="0024620F" w:rsidRPr="007E08F7">
        <w:rPr>
          <w:iCs w:val="0"/>
        </w:rPr>
        <w:t xml:space="preserve"> CO 3.2</w:t>
      </w:r>
    </w:p>
    <w:p w14:paraId="3C3AF268" w14:textId="77777777" w:rsidR="005A521F" w:rsidRPr="007E08F7" w:rsidRDefault="005A521F">
      <w:pPr>
        <w:numPr>
          <w:ilvl w:val="0"/>
          <w:numId w:val="28"/>
        </w:numPr>
        <w:spacing w:before="120" w:after="120" w:line="288" w:lineRule="auto"/>
        <w:rPr>
          <w:rFonts w:eastAsia="Aptos" w:cs="Aptos"/>
        </w:rPr>
      </w:pPr>
      <w:r w:rsidRPr="007E08F7">
        <w:rPr>
          <w:rFonts w:eastAsia="Aptos" w:cs="Aptos"/>
        </w:rPr>
        <w:t>Wzrost jakości, zakresu i dostępności usług publicznych na poziomie lokalnym.</w:t>
      </w:r>
    </w:p>
    <w:p w14:paraId="3C72464A" w14:textId="65DA2203" w:rsidR="00D95EF1" w:rsidRPr="007E08F7" w:rsidRDefault="005A521F">
      <w:pPr>
        <w:numPr>
          <w:ilvl w:val="0"/>
          <w:numId w:val="28"/>
        </w:numPr>
        <w:spacing w:before="120" w:after="120" w:line="288" w:lineRule="auto"/>
        <w:rPr>
          <w:rFonts w:eastAsia="Aptos" w:cs="Aptos"/>
        </w:rPr>
      </w:pPr>
      <w:r w:rsidRPr="007E08F7">
        <w:rPr>
          <w:rFonts w:eastAsia="Aptos" w:cs="Aptos"/>
        </w:rPr>
        <w:t>Wzrost liczby lokalnych podmiotów gospodarczych oraz stabilnych, wysokiej jakości miejsc pracy.</w:t>
      </w:r>
    </w:p>
    <w:p w14:paraId="3DB863D1" w14:textId="4F4069DB" w:rsidR="005A521F" w:rsidRPr="007E08F7" w:rsidRDefault="00D95EF1" w:rsidP="00D95EF1">
      <w:pPr>
        <w:rPr>
          <w:rFonts w:eastAsia="Aptos" w:cs="Aptos"/>
        </w:rPr>
      </w:pPr>
      <w:r w:rsidRPr="007E08F7">
        <w:rPr>
          <w:rFonts w:eastAsia="Aptos" w:cs="Aptos"/>
        </w:rPr>
        <w:br w:type="page"/>
      </w:r>
    </w:p>
    <w:p w14:paraId="06FF5BCE" w14:textId="7F4A356F" w:rsidR="005A521F" w:rsidRPr="007E08F7" w:rsidRDefault="005A521F" w:rsidP="00D447C3">
      <w:pPr>
        <w:pStyle w:val="Nagwek4"/>
        <w:rPr>
          <w:iCs w:val="0"/>
        </w:rPr>
      </w:pPr>
      <w:r w:rsidRPr="007E08F7">
        <w:rPr>
          <w:iCs w:val="0"/>
        </w:rPr>
        <w:lastRenderedPageBreak/>
        <w:t xml:space="preserve">Wskaźniki </w:t>
      </w:r>
      <w:r w:rsidR="0024620F" w:rsidRPr="007E08F7">
        <w:rPr>
          <w:iCs w:val="0"/>
        </w:rPr>
        <w:t xml:space="preserve">CO 3.2 </w:t>
      </w:r>
      <w:r w:rsidRPr="007E08F7">
        <w:rPr>
          <w:iCs w:val="0"/>
        </w:rPr>
        <w:t>(dotyczą obszaru poza metropolią)</w:t>
      </w:r>
    </w:p>
    <w:tbl>
      <w:tblPr>
        <w:tblStyle w:val="Tabela-Siatka16"/>
        <w:tblW w:w="5000" w:type="pct"/>
        <w:tblLook w:val="01E0" w:firstRow="1" w:lastRow="1" w:firstColumn="1" w:lastColumn="1" w:noHBand="0" w:noVBand="0"/>
      </w:tblPr>
      <w:tblGrid>
        <w:gridCol w:w="4532"/>
        <w:gridCol w:w="1205"/>
        <w:gridCol w:w="1774"/>
        <w:gridCol w:w="1551"/>
      </w:tblGrid>
      <w:tr w:rsidR="00D95EF1" w:rsidRPr="007E08F7" w14:paraId="1F1C2F0A" w14:textId="77777777" w:rsidTr="00ED576F">
        <w:trPr>
          <w:tblHeader/>
        </w:trPr>
        <w:tc>
          <w:tcPr>
            <w:tcW w:w="2500" w:type="pct"/>
            <w:tcBorders>
              <w:right w:val="single" w:sz="2" w:space="0" w:color="FFFFFF" w:themeColor="background1"/>
            </w:tcBorders>
            <w:shd w:val="clear" w:color="auto" w:fill="153D63" w:themeFill="text2" w:themeFillTint="E6"/>
            <w:vAlign w:val="center"/>
          </w:tcPr>
          <w:p w14:paraId="11984A5F" w14:textId="77777777" w:rsidR="00D95EF1" w:rsidRPr="007E08F7" w:rsidRDefault="00D95EF1" w:rsidP="003D2CB6">
            <w:pPr>
              <w:keepNext/>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665" w:type="pct"/>
            <w:tcBorders>
              <w:left w:val="single" w:sz="2" w:space="0" w:color="FFFFFF" w:themeColor="background1"/>
              <w:right w:val="single" w:sz="2" w:space="0" w:color="FFFFFF" w:themeColor="background1"/>
            </w:tcBorders>
            <w:shd w:val="clear" w:color="auto" w:fill="153D63" w:themeFill="text2" w:themeFillTint="E6"/>
            <w:vAlign w:val="center"/>
          </w:tcPr>
          <w:p w14:paraId="1A69EA31" w14:textId="77777777" w:rsidR="00D95EF1" w:rsidRPr="007E08F7" w:rsidRDefault="00D95EF1"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 xml:space="preserve">Wartość </w:t>
            </w:r>
            <w:r w:rsidRPr="007E08F7">
              <w:rPr>
                <w:rFonts w:eastAsia="Aptos" w:cs="Calibri"/>
                <w:b/>
                <w:color w:val="FFFFFF" w:themeColor="background1"/>
                <w:kern w:val="2"/>
                <w14:ligatures w14:val="standardContextual"/>
              </w:rPr>
              <w:br/>
              <w:t>bazowa</w:t>
            </w:r>
          </w:p>
        </w:tc>
        <w:tc>
          <w:tcPr>
            <w:tcW w:w="979" w:type="pct"/>
            <w:tcBorders>
              <w:left w:val="single" w:sz="2" w:space="0" w:color="FFFFFF" w:themeColor="background1"/>
              <w:right w:val="single" w:sz="2" w:space="0" w:color="FFFFFF" w:themeColor="background1"/>
            </w:tcBorders>
            <w:shd w:val="clear" w:color="auto" w:fill="153D63" w:themeFill="text2" w:themeFillTint="E6"/>
            <w:vAlign w:val="center"/>
          </w:tcPr>
          <w:p w14:paraId="6C4A1ECF" w14:textId="77777777" w:rsidR="00D95EF1" w:rsidRPr="007E08F7" w:rsidRDefault="00D95EF1"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856" w:type="pct"/>
            <w:tcBorders>
              <w:left w:val="single" w:sz="2" w:space="0" w:color="FFFFFF" w:themeColor="background1"/>
            </w:tcBorders>
            <w:shd w:val="clear" w:color="auto" w:fill="153D63" w:themeFill="text2" w:themeFillTint="E6"/>
            <w:vAlign w:val="center"/>
          </w:tcPr>
          <w:p w14:paraId="728CD033" w14:textId="77777777" w:rsidR="00D95EF1" w:rsidRPr="007E08F7" w:rsidRDefault="00D95EF1"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D95EF1" w:rsidRPr="007E08F7" w14:paraId="3B91149B" w14:textId="77777777" w:rsidTr="00D16193">
        <w:trPr>
          <w:trHeight w:val="350"/>
        </w:trPr>
        <w:tc>
          <w:tcPr>
            <w:tcW w:w="2500" w:type="pct"/>
            <w:vAlign w:val="center"/>
          </w:tcPr>
          <w:p w14:paraId="17454583" w14:textId="024FBA9E" w:rsidR="00D95EF1" w:rsidRPr="007E08F7" w:rsidRDefault="00D95EF1" w:rsidP="00D16193">
            <w:pPr>
              <w:spacing w:after="120" w:line="276" w:lineRule="auto"/>
              <w:rPr>
                <w:rFonts w:eastAsia="Aptos" w:cs="Calibri"/>
                <w:bCs/>
                <w:kern w:val="2"/>
                <w14:ligatures w14:val="standardContextual"/>
              </w:rPr>
            </w:pPr>
            <w:r w:rsidRPr="007E08F7">
              <w:rPr>
                <w:rFonts w:eastAsia="Aptos" w:cs="Calibri"/>
                <w:kern w:val="2"/>
                <w14:ligatures w14:val="standardContextual"/>
              </w:rPr>
              <w:t>Podmioty wpisane do rejestru REGON na</w:t>
            </w:r>
            <w:r w:rsidR="00D16193" w:rsidRPr="007E08F7">
              <w:rPr>
                <w:rFonts w:eastAsia="Aptos" w:cs="Calibri"/>
                <w:kern w:val="2"/>
                <w14:ligatures w14:val="standardContextual"/>
              </w:rPr>
              <w:t> 1000</w:t>
            </w:r>
            <w:r w:rsidR="00056CBD" w:rsidRPr="007E08F7">
              <w:rPr>
                <w:rFonts w:eastAsia="Aptos" w:cs="Calibri"/>
                <w:kern w:val="2"/>
                <w14:ligatures w14:val="standardContextual"/>
              </w:rPr>
              <w:t xml:space="preserve"> mieszkańców</w:t>
            </w:r>
            <w:r w:rsidRPr="007E08F7">
              <w:rPr>
                <w:rFonts w:eastAsia="Aptos" w:cs="Calibri"/>
                <w:kern w:val="2"/>
                <w14:ligatures w14:val="standardContextual"/>
              </w:rPr>
              <w:t xml:space="preserve"> </w:t>
            </w:r>
          </w:p>
        </w:tc>
        <w:tc>
          <w:tcPr>
            <w:tcW w:w="665" w:type="pct"/>
            <w:vAlign w:val="center"/>
          </w:tcPr>
          <w:p w14:paraId="3A693F81" w14:textId="77777777" w:rsidR="00D95EF1" w:rsidRPr="007E08F7" w:rsidRDefault="001E14EC" w:rsidP="00D16193">
            <w:pPr>
              <w:spacing w:after="120" w:line="276" w:lineRule="auto"/>
              <w:rPr>
                <w:rFonts w:eastAsia="Aptos" w:cs="Calibri"/>
                <w:kern w:val="2"/>
                <w14:ligatures w14:val="standardContextual"/>
              </w:rPr>
            </w:pPr>
            <w:r w:rsidRPr="007E08F7">
              <w:rPr>
                <w:rFonts w:eastAsia="Aptos" w:cs="Calibri"/>
                <w:kern w:val="2"/>
                <w14:ligatures w14:val="standardContextual"/>
              </w:rPr>
              <w:t>122,9</w:t>
            </w:r>
          </w:p>
          <w:p w14:paraId="578872E1" w14:textId="730A7A6E" w:rsidR="001E14EC" w:rsidRPr="007E08F7" w:rsidRDefault="001E14EC" w:rsidP="00D16193">
            <w:pPr>
              <w:spacing w:after="120" w:line="276" w:lineRule="auto"/>
              <w:rPr>
                <w:rFonts w:eastAsia="Aptos" w:cs="Calibri"/>
                <w:kern w:val="2"/>
                <w14:ligatures w14:val="standardContextual"/>
              </w:rPr>
            </w:pPr>
            <w:r w:rsidRPr="007E08F7">
              <w:rPr>
                <w:rFonts w:eastAsia="Aptos" w:cs="Calibri"/>
                <w:kern w:val="2"/>
                <w14:ligatures w14:val="standardContextual"/>
              </w:rPr>
              <w:t>(2025)</w:t>
            </w:r>
          </w:p>
        </w:tc>
        <w:tc>
          <w:tcPr>
            <w:tcW w:w="979" w:type="pct"/>
            <w:vAlign w:val="center"/>
          </w:tcPr>
          <w:p w14:paraId="28ABF5BC" w14:textId="77777777" w:rsidR="00D95EF1" w:rsidRPr="007E08F7" w:rsidRDefault="00D95EF1" w:rsidP="00D16193">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56" w:type="pct"/>
            <w:vAlign w:val="center"/>
          </w:tcPr>
          <w:p w14:paraId="67FEF886" w14:textId="524DD901" w:rsidR="00D95EF1" w:rsidRPr="007E08F7" w:rsidRDefault="00D95EF1" w:rsidP="00D16193">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w:t>
            </w:r>
            <w:r w:rsidR="00D16193" w:rsidRPr="007E08F7">
              <w:rPr>
                <w:rFonts w:eastAsia="Aptos" w:cs="Calibri"/>
                <w:kern w:val="2"/>
                <w14:ligatures w14:val="standardContextual"/>
              </w:rPr>
              <w:t> </w:t>
            </w:r>
            <w:r w:rsidRPr="007E08F7">
              <w:rPr>
                <w:rFonts w:eastAsia="Aptos" w:cs="Calibri"/>
                <w:kern w:val="2"/>
                <w14:ligatures w14:val="standardContextual"/>
              </w:rPr>
              <w:t>podstawie danych GUS</w:t>
            </w:r>
          </w:p>
        </w:tc>
      </w:tr>
      <w:tr w:rsidR="00D95EF1" w:rsidRPr="007E08F7" w14:paraId="61E7CC8B" w14:textId="77777777" w:rsidTr="00D16193">
        <w:trPr>
          <w:trHeight w:val="271"/>
        </w:trPr>
        <w:tc>
          <w:tcPr>
            <w:tcW w:w="2500" w:type="pct"/>
            <w:vAlign w:val="center"/>
          </w:tcPr>
          <w:p w14:paraId="47D055AD" w14:textId="77777777" w:rsidR="00D95EF1" w:rsidRPr="007E08F7" w:rsidRDefault="00D95EF1" w:rsidP="00D16193">
            <w:pPr>
              <w:spacing w:after="120" w:line="276" w:lineRule="auto"/>
              <w:rPr>
                <w:rFonts w:eastAsia="Aptos" w:cs="Calibri"/>
                <w:kern w:val="2"/>
                <w14:ligatures w14:val="standardContextual"/>
              </w:rPr>
            </w:pPr>
            <w:r w:rsidRPr="007E08F7">
              <w:rPr>
                <w:rFonts w:eastAsia="Aptos" w:cs="Calibri"/>
                <w:kern w:val="2"/>
                <w14:ligatures w14:val="standardContextual"/>
              </w:rPr>
              <w:t>Liczba ludności na 1 przychodnię podstawowej i specjalistycznej opieki zdrowotnej oraz rehabilitacji</w:t>
            </w:r>
          </w:p>
        </w:tc>
        <w:tc>
          <w:tcPr>
            <w:tcW w:w="665" w:type="pct"/>
            <w:vAlign w:val="center"/>
          </w:tcPr>
          <w:p w14:paraId="1E739FBF" w14:textId="77777777" w:rsidR="00D95EF1" w:rsidRPr="007E08F7" w:rsidRDefault="00D95EF1" w:rsidP="00D16193">
            <w:pPr>
              <w:spacing w:after="120" w:line="276" w:lineRule="auto"/>
              <w:rPr>
                <w:rFonts w:eastAsia="Aptos" w:cs="Calibri"/>
                <w:kern w:val="2"/>
                <w14:ligatures w14:val="standardContextual"/>
              </w:rPr>
            </w:pPr>
            <w:r w:rsidRPr="007E08F7">
              <w:rPr>
                <w:rFonts w:eastAsia="Aptos"/>
              </w:rPr>
              <w:t xml:space="preserve">2100 </w:t>
            </w:r>
            <w:r w:rsidRPr="007E08F7">
              <w:rPr>
                <w:rFonts w:eastAsia="Aptos"/>
              </w:rPr>
              <w:br/>
              <w:t>(2025)</w:t>
            </w:r>
          </w:p>
        </w:tc>
        <w:tc>
          <w:tcPr>
            <w:tcW w:w="979" w:type="pct"/>
            <w:vAlign w:val="center"/>
          </w:tcPr>
          <w:p w14:paraId="54C42A51" w14:textId="77777777" w:rsidR="00D95EF1" w:rsidRPr="007E08F7" w:rsidRDefault="00D95EF1" w:rsidP="00D16193">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56" w:type="pct"/>
            <w:vAlign w:val="center"/>
          </w:tcPr>
          <w:p w14:paraId="04984DA8" w14:textId="5BC601B3" w:rsidR="00D95EF1" w:rsidRPr="007E08F7" w:rsidRDefault="00D95EF1" w:rsidP="00D16193">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w:t>
            </w:r>
            <w:r w:rsidR="00D16193" w:rsidRPr="007E08F7">
              <w:rPr>
                <w:rFonts w:eastAsia="Aptos" w:cs="Calibri"/>
                <w:kern w:val="2"/>
                <w14:ligatures w14:val="standardContextual"/>
              </w:rPr>
              <w:t> </w:t>
            </w:r>
            <w:r w:rsidRPr="007E08F7">
              <w:rPr>
                <w:rFonts w:eastAsia="Aptos" w:cs="Calibri"/>
                <w:kern w:val="2"/>
                <w14:ligatures w14:val="standardContextual"/>
              </w:rPr>
              <w:t>podstawie danych GUS</w:t>
            </w:r>
          </w:p>
        </w:tc>
      </w:tr>
      <w:tr w:rsidR="00D95EF1" w:rsidRPr="007E08F7" w14:paraId="2FFC938B" w14:textId="77777777" w:rsidTr="00D16193">
        <w:trPr>
          <w:trHeight w:val="271"/>
        </w:trPr>
        <w:tc>
          <w:tcPr>
            <w:tcW w:w="2500" w:type="pct"/>
            <w:vAlign w:val="center"/>
          </w:tcPr>
          <w:p w14:paraId="149ED846" w14:textId="62DA6042" w:rsidR="00D95EF1" w:rsidRPr="007E08F7" w:rsidRDefault="00D95EF1" w:rsidP="00D16193">
            <w:pPr>
              <w:spacing w:after="120" w:line="276" w:lineRule="auto"/>
              <w:rPr>
                <w:rFonts w:eastAsia="Aptos"/>
              </w:rPr>
            </w:pPr>
            <w:r w:rsidRPr="007E08F7">
              <w:rPr>
                <w:rFonts w:eastAsia="Aptos"/>
              </w:rPr>
              <w:t>Różnica pomiędzy średnimi wynikami egzaminu ósmoklasisty z matematyki w</w:t>
            </w:r>
            <w:r w:rsidR="00D16193" w:rsidRPr="007E08F7">
              <w:rPr>
                <w:rFonts w:eastAsia="Aptos"/>
              </w:rPr>
              <w:t> </w:t>
            </w:r>
            <w:r w:rsidRPr="007E08F7">
              <w:rPr>
                <w:rFonts w:eastAsia="Aptos"/>
              </w:rPr>
              <w:t>szkołach z obszarów wiejskich a</w:t>
            </w:r>
            <w:r w:rsidR="00D16193" w:rsidRPr="007E08F7">
              <w:rPr>
                <w:rFonts w:eastAsia="Aptos"/>
              </w:rPr>
              <w:t> </w:t>
            </w:r>
            <w:r w:rsidRPr="007E08F7">
              <w:rPr>
                <w:rFonts w:eastAsia="Aptos"/>
              </w:rPr>
              <w:t>w</w:t>
            </w:r>
            <w:r w:rsidR="00D16193" w:rsidRPr="007E08F7">
              <w:rPr>
                <w:rFonts w:eastAsia="Aptos"/>
              </w:rPr>
              <w:t> </w:t>
            </w:r>
            <w:r w:rsidRPr="007E08F7">
              <w:rPr>
                <w:rFonts w:eastAsia="Aptos"/>
              </w:rPr>
              <w:t>miastach powyżej 100 tys. mieszkańców</w:t>
            </w:r>
          </w:p>
        </w:tc>
        <w:tc>
          <w:tcPr>
            <w:tcW w:w="665" w:type="pct"/>
            <w:vAlign w:val="center"/>
          </w:tcPr>
          <w:p w14:paraId="6F8ABAE8" w14:textId="77777777" w:rsidR="00D95EF1" w:rsidRPr="007E08F7" w:rsidRDefault="001E14EC" w:rsidP="00D16193">
            <w:pPr>
              <w:spacing w:after="120" w:line="276" w:lineRule="auto"/>
              <w:rPr>
                <w:rFonts w:eastAsia="Aptos"/>
              </w:rPr>
            </w:pPr>
            <w:r w:rsidRPr="007E08F7">
              <w:rPr>
                <w:rFonts w:eastAsia="Aptos"/>
              </w:rPr>
              <w:t xml:space="preserve">14 </w:t>
            </w:r>
            <w:proofErr w:type="spellStart"/>
            <w:r w:rsidRPr="007E08F7">
              <w:rPr>
                <w:rFonts w:eastAsia="Aptos"/>
              </w:rPr>
              <w:t>p.p</w:t>
            </w:r>
            <w:proofErr w:type="spellEnd"/>
            <w:r w:rsidRPr="007E08F7">
              <w:rPr>
                <w:rFonts w:eastAsia="Aptos"/>
              </w:rPr>
              <w:t>.</w:t>
            </w:r>
          </w:p>
          <w:p w14:paraId="2CDBBEDC" w14:textId="67FD27FF" w:rsidR="004F4AD9" w:rsidRPr="007E08F7" w:rsidRDefault="004F4AD9" w:rsidP="00D16193">
            <w:pPr>
              <w:spacing w:after="120" w:line="276" w:lineRule="auto"/>
              <w:rPr>
                <w:rFonts w:eastAsia="Aptos"/>
              </w:rPr>
            </w:pPr>
            <w:r w:rsidRPr="007E08F7">
              <w:rPr>
                <w:rFonts w:eastAsia="Aptos"/>
              </w:rPr>
              <w:t>(2026)</w:t>
            </w:r>
          </w:p>
        </w:tc>
        <w:tc>
          <w:tcPr>
            <w:tcW w:w="979" w:type="pct"/>
            <w:vAlign w:val="center"/>
          </w:tcPr>
          <w:p w14:paraId="0535D811" w14:textId="77777777" w:rsidR="00D95EF1" w:rsidRPr="007E08F7" w:rsidRDefault="00D95EF1" w:rsidP="00D16193">
            <w:pPr>
              <w:spacing w:after="120" w:line="276" w:lineRule="auto"/>
              <w:rPr>
                <w:rFonts w:eastAsia="Aptos"/>
              </w:rPr>
            </w:pPr>
            <w:r w:rsidRPr="007E08F7">
              <w:rPr>
                <w:rFonts w:eastAsia="Aptos" w:cs="Calibri"/>
                <w:kern w:val="2"/>
                <w14:ligatures w14:val="standardContextual"/>
              </w:rPr>
              <w:t>do uzupełnienia</w:t>
            </w:r>
          </w:p>
        </w:tc>
        <w:tc>
          <w:tcPr>
            <w:tcW w:w="856" w:type="pct"/>
            <w:vAlign w:val="center"/>
          </w:tcPr>
          <w:p w14:paraId="7DAEA4FE" w14:textId="5AC5FF20" w:rsidR="00D95EF1" w:rsidRPr="007E08F7" w:rsidRDefault="00D95EF1" w:rsidP="00D16193">
            <w:pPr>
              <w:spacing w:after="120" w:line="276" w:lineRule="auto"/>
              <w:rPr>
                <w:rFonts w:eastAsia="Aptos"/>
              </w:rPr>
            </w:pPr>
            <w:r w:rsidRPr="007E08F7">
              <w:rPr>
                <w:rFonts w:eastAsia="Aptos" w:cs="Calibri"/>
                <w:kern w:val="2"/>
                <w14:ligatures w14:val="standardContextual"/>
              </w:rPr>
              <w:t>OKE w</w:t>
            </w:r>
            <w:r w:rsidR="00D16193" w:rsidRPr="007E08F7">
              <w:rPr>
                <w:rFonts w:eastAsia="Aptos" w:cs="Calibri"/>
                <w:kern w:val="2"/>
                <w14:ligatures w14:val="standardContextual"/>
              </w:rPr>
              <w:t> </w:t>
            </w:r>
            <w:r w:rsidRPr="007E08F7">
              <w:rPr>
                <w:rFonts w:eastAsia="Aptos" w:cs="Calibri"/>
                <w:kern w:val="2"/>
                <w14:ligatures w14:val="standardContextual"/>
              </w:rPr>
              <w:t>Gdańsku</w:t>
            </w:r>
          </w:p>
        </w:tc>
      </w:tr>
    </w:tbl>
    <w:p w14:paraId="08509145" w14:textId="1E97F7C3" w:rsidR="005A521F" w:rsidRPr="007E08F7" w:rsidRDefault="005A521F" w:rsidP="00D16193">
      <w:pPr>
        <w:pStyle w:val="Nagwek4"/>
        <w:spacing w:before="360"/>
        <w:rPr>
          <w:iCs w:val="0"/>
        </w:rPr>
      </w:pPr>
      <w:r w:rsidRPr="007E08F7">
        <w:rPr>
          <w:iCs w:val="0"/>
        </w:rPr>
        <w:t>Postulaty wobec władz centralnych</w:t>
      </w:r>
      <w:r w:rsidR="0024620F" w:rsidRPr="007E08F7">
        <w:rPr>
          <w:iCs w:val="0"/>
        </w:rPr>
        <w:t xml:space="preserve"> CO 3.2</w:t>
      </w:r>
    </w:p>
    <w:p w14:paraId="29A3B212" w14:textId="1B523BC1" w:rsidR="00ED14F1" w:rsidRPr="007E08F7" w:rsidRDefault="005A521F">
      <w:pPr>
        <w:numPr>
          <w:ilvl w:val="0"/>
          <w:numId w:val="58"/>
        </w:numPr>
        <w:spacing w:before="120" w:after="120" w:line="288" w:lineRule="auto"/>
        <w:rPr>
          <w:rFonts w:cstheme="minorHAnsi"/>
        </w:rPr>
      </w:pPr>
      <w:r w:rsidRPr="007E08F7">
        <w:rPr>
          <w:rFonts w:cstheme="minorHAnsi"/>
        </w:rPr>
        <w:t xml:space="preserve">Wspieranie rozwoju infrastruktury stałego, szerokopasmowego </w:t>
      </w:r>
      <w:r w:rsidRPr="007E08F7">
        <w:t xml:space="preserve">dostępu do </w:t>
      </w:r>
      <w:proofErr w:type="spellStart"/>
      <w:r w:rsidRPr="007E08F7">
        <w:t>internetu</w:t>
      </w:r>
      <w:proofErr w:type="spellEnd"/>
      <w:r w:rsidRPr="007E08F7">
        <w:t xml:space="preserve"> (w szczególności w technologii światłowodowej) na obszarach wiejskich oraz małych miast województwa pomorskiego</w:t>
      </w:r>
      <w:r w:rsidR="00ED14F1" w:rsidRPr="007E08F7">
        <w:t>.</w:t>
      </w:r>
      <w:r w:rsidR="00ED14F1" w:rsidRPr="007E08F7">
        <w:rPr>
          <w:rFonts w:cstheme="minorHAnsi"/>
          <w:b/>
          <w:bCs/>
          <w:shd w:val="clear" w:color="auto" w:fill="CCFFCC"/>
        </w:rPr>
        <w:br w:type="page"/>
      </w:r>
    </w:p>
    <w:p w14:paraId="07F31E1B" w14:textId="77777777" w:rsidR="00ED14F1" w:rsidRPr="007E08F7" w:rsidRDefault="00ED14F1" w:rsidP="002F715A">
      <w:pPr>
        <w:pStyle w:val="Nagwek3"/>
        <w:rPr>
          <w:rFonts w:eastAsia="Aptos"/>
        </w:rPr>
      </w:pPr>
      <w:bookmarkStart w:id="66" w:name="_Toc239772093"/>
      <w:r w:rsidRPr="007E08F7">
        <w:lastRenderedPageBreak/>
        <w:t>Cel operacyjny 3.3. Połączone Pomorze</w:t>
      </w:r>
      <w:bookmarkEnd w:id="66"/>
      <w:r w:rsidRPr="007E08F7">
        <w:t xml:space="preserve"> </w:t>
      </w:r>
    </w:p>
    <w:p w14:paraId="14D6A2D1" w14:textId="3FEBCD66" w:rsidR="00ED14F1" w:rsidRPr="007E08F7" w:rsidRDefault="00ED14F1" w:rsidP="00D447C3">
      <w:pPr>
        <w:pStyle w:val="Nagwek4"/>
        <w:rPr>
          <w:rFonts w:eastAsia="Aptos"/>
          <w:iCs w:val="0"/>
        </w:rPr>
      </w:pPr>
      <w:r w:rsidRPr="007E08F7">
        <w:rPr>
          <w:rFonts w:eastAsia="Aptos"/>
          <w:iCs w:val="0"/>
        </w:rPr>
        <w:t xml:space="preserve">Przesłanki realizacji Celu </w:t>
      </w:r>
      <w:r w:rsidR="0024620F" w:rsidRPr="007E08F7">
        <w:rPr>
          <w:rFonts w:eastAsia="Aptos"/>
          <w:iCs w:val="0"/>
        </w:rPr>
        <w:t>o</w:t>
      </w:r>
      <w:r w:rsidRPr="007E08F7">
        <w:rPr>
          <w:rFonts w:eastAsia="Aptos"/>
          <w:iCs w:val="0"/>
        </w:rPr>
        <w:t>peracyjnego</w:t>
      </w:r>
      <w:r w:rsidR="0024620F" w:rsidRPr="007E08F7">
        <w:rPr>
          <w:rFonts w:eastAsia="Aptos"/>
          <w:iCs w:val="0"/>
        </w:rPr>
        <w:t xml:space="preserve"> 3.3</w:t>
      </w:r>
    </w:p>
    <w:p w14:paraId="347EB9E4" w14:textId="41A56F87" w:rsidR="005A521F" w:rsidRPr="007E08F7" w:rsidRDefault="00ED14F1" w:rsidP="005A521F">
      <w:pPr>
        <w:spacing w:before="120" w:after="120" w:line="288" w:lineRule="auto"/>
        <w:rPr>
          <w:rFonts w:eastAsia="Aptos"/>
        </w:rPr>
      </w:pPr>
      <w:r w:rsidRPr="007E08F7">
        <w:rPr>
          <w:rFonts w:eastAsia="Aptos"/>
        </w:rPr>
        <w:t>Rozwój</w:t>
      </w:r>
      <w:r w:rsidR="005A521F" w:rsidRPr="007E08F7">
        <w:rPr>
          <w:rFonts w:eastAsia="Aptos"/>
        </w:rPr>
        <w:t xml:space="preserve"> publicznego transportu zbiorowego jest warunkiem koniecznym dla zbudowania regionu oferującego wszystkim jego mieszkańcom możliwe wysoką jakość życia oraz wyrównany dostęp do usług publicznych.</w:t>
      </w:r>
    </w:p>
    <w:p w14:paraId="7CAE33F8" w14:textId="09E7B33A" w:rsidR="005A521F" w:rsidRPr="007E08F7" w:rsidRDefault="005A521F" w:rsidP="005A521F">
      <w:pPr>
        <w:spacing w:before="120" w:after="120" w:line="288" w:lineRule="auto"/>
        <w:rPr>
          <w:rFonts w:eastAsia="Aptos"/>
        </w:rPr>
      </w:pPr>
      <w:r w:rsidRPr="007E08F7">
        <w:rPr>
          <w:rFonts w:eastAsia="Aptos"/>
        </w:rPr>
        <w:t>Pomorze cechuje się znaczącym przestrzennym zróżnicowaniem dostępności publicznego transportu zbiorowego, a osoby pozbawione dostępu do przyjaznych dla klimatu form przemieszczenia się będą w coraz większym stopniu narażone na ubóstwo transportowe. Należy mieć również na uwadze specyfikę województwa pomorskiego z</w:t>
      </w:r>
      <w:r w:rsidR="002455C8" w:rsidRPr="007E08F7">
        <w:rPr>
          <w:rFonts w:eastAsia="Aptos"/>
        </w:rPr>
        <w:t> </w:t>
      </w:r>
      <w:r w:rsidRPr="007E08F7">
        <w:rPr>
          <w:rFonts w:eastAsia="Aptos"/>
        </w:rPr>
        <w:t xml:space="preserve">usytuowaną poza geograficznym centrum regionu stolicą, co stwarza dodatkowe wyzwania dla rozwoju sieci drogowej oraz transportu kolejowego z punktu widzenia spójności regionalnego systemu transportowego. </w:t>
      </w:r>
    </w:p>
    <w:p w14:paraId="420CB09F" w14:textId="77777777" w:rsidR="005A521F" w:rsidRPr="007E08F7" w:rsidRDefault="005A521F" w:rsidP="005A521F">
      <w:pPr>
        <w:spacing w:before="120" w:after="120" w:line="288" w:lineRule="auto"/>
        <w:rPr>
          <w:rFonts w:asciiTheme="minorHAnsi" w:eastAsia="Aptos" w:hAnsiTheme="minorHAnsi"/>
        </w:rPr>
      </w:pPr>
      <w:r w:rsidRPr="007E08F7">
        <w:rPr>
          <w:rFonts w:asciiTheme="minorHAnsi" w:eastAsia="Aptos" w:hAnsiTheme="minorHAnsi"/>
        </w:rPr>
        <w:t>Kluczowa jest realizacja działań gwarantujących mieszkańcom Pomorza możliwość swobodnego, bezpiecznego przemieszczania się celem zaspokajania potrzeb, w tym dostępu do usług publicznych. W szczególności dotyczy to zapewnienia dostępności transportowej ośrodków gminnych, powiatowych oraz do stolicy województwa.</w:t>
      </w:r>
    </w:p>
    <w:p w14:paraId="7BE0A397" w14:textId="19079F4E" w:rsidR="005A521F" w:rsidRPr="007E08F7" w:rsidRDefault="005A521F" w:rsidP="00D447C3">
      <w:pPr>
        <w:pStyle w:val="Nagwek4"/>
        <w:rPr>
          <w:rFonts w:eastAsia="Calibri"/>
          <w:iCs w:val="0"/>
        </w:rPr>
      </w:pPr>
      <w:r w:rsidRPr="007E08F7">
        <w:rPr>
          <w:rFonts w:eastAsia="Calibri"/>
          <w:iCs w:val="0"/>
        </w:rPr>
        <w:t xml:space="preserve">Ukierunkowanie tematyczne </w:t>
      </w:r>
      <w:r w:rsidR="0024620F" w:rsidRPr="007E08F7">
        <w:rPr>
          <w:iCs w:val="0"/>
        </w:rPr>
        <w:t xml:space="preserve">CO 3.3 </w:t>
      </w:r>
      <w:r w:rsidR="0024620F" w:rsidRPr="007E08F7">
        <w:rPr>
          <w:iCs w:val="0"/>
        </w:rPr>
        <w:br/>
      </w:r>
      <w:r w:rsidRPr="007E08F7">
        <w:rPr>
          <w:rFonts w:eastAsia="Calibri"/>
          <w:iCs w:val="0"/>
        </w:rPr>
        <w:t>(kluczowe kierunki interwencji i działania)</w:t>
      </w:r>
    </w:p>
    <w:p w14:paraId="73F0E445" w14:textId="77777777" w:rsidR="005A521F" w:rsidRPr="007E08F7" w:rsidRDefault="005A521F" w:rsidP="005A521F">
      <w:pPr>
        <w:spacing w:before="120" w:after="120" w:line="288" w:lineRule="auto"/>
        <w:rPr>
          <w:rFonts w:asciiTheme="minorHAnsi" w:eastAsia="Aptos" w:hAnsiTheme="minorHAnsi"/>
          <w:b/>
          <w:bCs/>
        </w:rPr>
      </w:pPr>
      <w:r w:rsidRPr="007E08F7">
        <w:rPr>
          <w:rFonts w:asciiTheme="minorHAnsi" w:eastAsia="Aptos" w:hAnsiTheme="minorHAnsi"/>
          <w:b/>
          <w:bCs/>
        </w:rPr>
        <w:t>3.3.1.</w:t>
      </w:r>
      <w:r w:rsidRPr="007E08F7">
        <w:rPr>
          <w:rFonts w:asciiTheme="minorHAnsi" w:eastAsia="Aptos" w:hAnsiTheme="minorHAnsi"/>
          <w:b/>
          <w:bCs/>
        </w:rPr>
        <w:br/>
      </w:r>
      <w:r w:rsidRPr="007E08F7">
        <w:rPr>
          <w:rFonts w:asciiTheme="minorHAnsi" w:eastAsia="Aptos" w:hAnsiTheme="minorHAnsi"/>
        </w:rPr>
        <w:t>Budowa dostępnych dla wszystkich użytkowników, przystępnych cenowo, wysokiej jakości lokalnych systemów publicznego transportu zbiorowego.</w:t>
      </w:r>
    </w:p>
    <w:p w14:paraId="7B721430" w14:textId="77777777" w:rsidR="005A521F" w:rsidRPr="007E08F7" w:rsidRDefault="005A521F" w:rsidP="005A521F">
      <w:pPr>
        <w:spacing w:before="120" w:after="120" w:line="288" w:lineRule="auto"/>
        <w:rPr>
          <w:rFonts w:asciiTheme="minorHAnsi" w:eastAsia="Aptos" w:hAnsiTheme="minorHAnsi"/>
          <w:b/>
          <w:bCs/>
        </w:rPr>
      </w:pPr>
      <w:r w:rsidRPr="007E08F7">
        <w:rPr>
          <w:rFonts w:asciiTheme="minorHAnsi" w:eastAsia="Aptos" w:hAnsiTheme="minorHAnsi"/>
          <w:b/>
          <w:bCs/>
        </w:rPr>
        <w:t>3.3.2</w:t>
      </w:r>
      <w:r w:rsidRPr="007E08F7">
        <w:rPr>
          <w:rFonts w:asciiTheme="minorHAnsi" w:eastAsia="Aptos" w:hAnsiTheme="minorHAnsi"/>
          <w:b/>
          <w:bCs/>
        </w:rPr>
        <w:br/>
      </w:r>
      <w:r w:rsidRPr="007E08F7">
        <w:rPr>
          <w:rFonts w:asciiTheme="minorHAnsi" w:eastAsia="Aptos" w:hAnsiTheme="minorHAnsi"/>
        </w:rPr>
        <w:t>Budowa spójnej, bezpiecznej i zrównoważonej regionalnej sieci połączeń transportowych.</w:t>
      </w:r>
    </w:p>
    <w:p w14:paraId="627D6FA5" w14:textId="7AD2EADB" w:rsidR="005A521F" w:rsidRPr="007E08F7" w:rsidRDefault="005A521F" w:rsidP="00D447C3">
      <w:pPr>
        <w:pStyle w:val="Nagwek4"/>
        <w:rPr>
          <w:rFonts w:eastAsia="Calibri"/>
          <w:iCs w:val="0"/>
        </w:rPr>
      </w:pPr>
      <w:r w:rsidRPr="007E08F7">
        <w:rPr>
          <w:rFonts w:eastAsia="Calibri"/>
          <w:iCs w:val="0"/>
        </w:rPr>
        <w:t>Ukierunkowanie terytorialne</w:t>
      </w:r>
      <w:r w:rsidR="0024620F" w:rsidRPr="007E08F7">
        <w:rPr>
          <w:iCs w:val="0"/>
        </w:rPr>
        <w:t xml:space="preserve"> CO 3.3</w:t>
      </w:r>
    </w:p>
    <w:p w14:paraId="0130F0AD" w14:textId="77777777" w:rsidR="005A521F" w:rsidRPr="007E08F7" w:rsidRDefault="005A521F">
      <w:pPr>
        <w:numPr>
          <w:ilvl w:val="0"/>
          <w:numId w:val="27"/>
        </w:numPr>
        <w:spacing w:before="120" w:after="120" w:line="288" w:lineRule="auto"/>
        <w:ind w:left="284" w:hanging="284"/>
        <w:rPr>
          <w:rFonts w:asciiTheme="minorHAnsi" w:eastAsia="Calibri" w:hAnsiTheme="minorHAnsi"/>
        </w:rPr>
      </w:pPr>
      <w:r w:rsidRPr="007E08F7">
        <w:rPr>
          <w:rFonts w:asciiTheme="minorHAnsi" w:eastAsia="Calibri" w:hAnsiTheme="minorHAnsi"/>
        </w:rPr>
        <w:t>Całe województwo ze szczególnym uwzględnieniem miejskich obszarów funkcjonalnych poza obszarem metropolitalnym (w zakresie lokalnych systemów publicznego transportu zbiorowego);</w:t>
      </w:r>
    </w:p>
    <w:p w14:paraId="4D8DC742" w14:textId="77777777" w:rsidR="005A521F" w:rsidRPr="007E08F7" w:rsidRDefault="005A521F">
      <w:pPr>
        <w:numPr>
          <w:ilvl w:val="0"/>
          <w:numId w:val="27"/>
        </w:numPr>
        <w:spacing w:before="120" w:after="120" w:line="288" w:lineRule="auto"/>
        <w:ind w:left="284" w:hanging="284"/>
        <w:rPr>
          <w:rFonts w:eastAsia="Calibri"/>
        </w:rPr>
      </w:pPr>
      <w:r w:rsidRPr="007E08F7">
        <w:rPr>
          <w:rFonts w:eastAsia="Calibri"/>
        </w:rPr>
        <w:t>Całe województwo, ze szczególnym uwzględnieniem regionalnych pasm rozwojowych (w zakresie regionalnej sieci połączeń transportowych).</w:t>
      </w:r>
    </w:p>
    <w:p w14:paraId="53220179" w14:textId="05D17EC3" w:rsidR="005A521F" w:rsidRPr="007E08F7" w:rsidRDefault="005A521F" w:rsidP="00D447C3">
      <w:pPr>
        <w:pStyle w:val="Nagwek4"/>
        <w:rPr>
          <w:rFonts w:eastAsia="Calibri"/>
          <w:iCs w:val="0"/>
        </w:rPr>
      </w:pPr>
      <w:r w:rsidRPr="007E08F7">
        <w:rPr>
          <w:rFonts w:eastAsia="Calibri"/>
          <w:iCs w:val="0"/>
        </w:rPr>
        <w:t>Oczekiwane rezultaty</w:t>
      </w:r>
      <w:r w:rsidR="0024620F" w:rsidRPr="007E08F7">
        <w:rPr>
          <w:iCs w:val="0"/>
        </w:rPr>
        <w:t xml:space="preserve"> CO 3.3</w:t>
      </w:r>
    </w:p>
    <w:p w14:paraId="5A9F63BC" w14:textId="77777777" w:rsidR="005A521F" w:rsidRPr="007E08F7" w:rsidRDefault="005A521F">
      <w:pPr>
        <w:numPr>
          <w:ilvl w:val="0"/>
          <w:numId w:val="30"/>
        </w:numPr>
        <w:spacing w:before="120" w:after="120" w:line="288" w:lineRule="auto"/>
        <w:rPr>
          <w:rFonts w:eastAsia="Calibri"/>
        </w:rPr>
      </w:pPr>
      <w:r w:rsidRPr="007E08F7">
        <w:rPr>
          <w:rFonts w:eastAsia="Calibri"/>
        </w:rPr>
        <w:t>Ograniczenie poziomu wykluczenia i ubóstwa transportowego.</w:t>
      </w:r>
    </w:p>
    <w:p w14:paraId="2FC208E7" w14:textId="77777777" w:rsidR="005A521F" w:rsidRPr="007E08F7" w:rsidRDefault="005A521F">
      <w:pPr>
        <w:numPr>
          <w:ilvl w:val="0"/>
          <w:numId w:val="30"/>
        </w:numPr>
        <w:spacing w:before="120" w:after="120" w:line="288" w:lineRule="auto"/>
        <w:rPr>
          <w:rFonts w:eastAsia="Calibri"/>
          <w:u w:val="single"/>
        </w:rPr>
      </w:pPr>
      <w:r w:rsidRPr="007E08F7">
        <w:rPr>
          <w:rFonts w:eastAsia="Calibri"/>
        </w:rPr>
        <w:t>Poprawienie dostępności do ośrodków gminnych, siedzib powiatów oraz stolicy województwa.</w:t>
      </w:r>
    </w:p>
    <w:p w14:paraId="41DC4515" w14:textId="77777777" w:rsidR="005A521F" w:rsidRPr="007E08F7" w:rsidRDefault="005A521F" w:rsidP="005A521F">
      <w:pPr>
        <w:spacing w:before="120" w:after="120" w:line="288" w:lineRule="auto"/>
        <w:rPr>
          <w:rFonts w:eastAsia="Calibri"/>
          <w:u w:val="single"/>
        </w:rPr>
      </w:pPr>
    </w:p>
    <w:p w14:paraId="3A531530" w14:textId="50F8C220" w:rsidR="005A521F" w:rsidRPr="007E08F7" w:rsidRDefault="005A521F" w:rsidP="00D447C3">
      <w:pPr>
        <w:pStyle w:val="Nagwek4"/>
        <w:rPr>
          <w:rFonts w:eastAsia="Calibri"/>
          <w:iCs w:val="0"/>
        </w:rPr>
      </w:pPr>
      <w:r w:rsidRPr="007E08F7">
        <w:rPr>
          <w:rFonts w:eastAsia="Calibri"/>
          <w:iCs w:val="0"/>
        </w:rPr>
        <w:t xml:space="preserve">Wskaźniki </w:t>
      </w:r>
      <w:r w:rsidR="0024620F" w:rsidRPr="007E08F7">
        <w:rPr>
          <w:iCs w:val="0"/>
        </w:rPr>
        <w:t>CO 3.3</w:t>
      </w:r>
    </w:p>
    <w:tbl>
      <w:tblPr>
        <w:tblStyle w:val="Tabela-Siatka12"/>
        <w:tblW w:w="5000" w:type="pct"/>
        <w:jc w:val="center"/>
        <w:tblLook w:val="01E0" w:firstRow="1" w:lastRow="1" w:firstColumn="1" w:lastColumn="1" w:noHBand="0" w:noVBand="0"/>
      </w:tblPr>
      <w:tblGrid>
        <w:gridCol w:w="4672"/>
        <w:gridCol w:w="1278"/>
        <w:gridCol w:w="1843"/>
        <w:gridCol w:w="1269"/>
      </w:tblGrid>
      <w:tr w:rsidR="00B765A5" w:rsidRPr="007E08F7" w14:paraId="4DF1898A" w14:textId="77777777" w:rsidTr="00396E36">
        <w:trPr>
          <w:tblHeader/>
          <w:jc w:val="center"/>
        </w:trPr>
        <w:tc>
          <w:tcPr>
            <w:tcW w:w="2578" w:type="pct"/>
            <w:tcBorders>
              <w:right w:val="single" w:sz="4" w:space="0" w:color="FFFFFF" w:themeColor="background1"/>
            </w:tcBorders>
            <w:shd w:val="clear" w:color="auto" w:fill="153D63" w:themeFill="text2" w:themeFillTint="E6"/>
            <w:vAlign w:val="center"/>
          </w:tcPr>
          <w:p w14:paraId="2E4771F5" w14:textId="77777777"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705" w:type="pct"/>
            <w:tcBorders>
              <w:left w:val="single" w:sz="4" w:space="0" w:color="FFFFFF" w:themeColor="background1"/>
              <w:right w:val="single" w:sz="4" w:space="0" w:color="FFFFFF" w:themeColor="background1"/>
            </w:tcBorders>
            <w:shd w:val="clear" w:color="auto" w:fill="153D63" w:themeFill="text2" w:themeFillTint="E6"/>
            <w:vAlign w:val="center"/>
          </w:tcPr>
          <w:p w14:paraId="05EBA112" w14:textId="5F60FFBA"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bazowa</w:t>
            </w:r>
          </w:p>
        </w:tc>
        <w:tc>
          <w:tcPr>
            <w:tcW w:w="1017" w:type="pct"/>
            <w:tcBorders>
              <w:left w:val="single" w:sz="4" w:space="0" w:color="FFFFFF" w:themeColor="background1"/>
              <w:right w:val="single" w:sz="4" w:space="0" w:color="FFFFFF" w:themeColor="background1"/>
            </w:tcBorders>
            <w:shd w:val="clear" w:color="auto" w:fill="153D63" w:themeFill="text2" w:themeFillTint="E6"/>
            <w:vAlign w:val="center"/>
          </w:tcPr>
          <w:p w14:paraId="3B8ED395" w14:textId="77777777"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700" w:type="pct"/>
            <w:tcBorders>
              <w:left w:val="single" w:sz="4" w:space="0" w:color="FFFFFF" w:themeColor="background1"/>
            </w:tcBorders>
            <w:shd w:val="clear" w:color="auto" w:fill="153D63" w:themeFill="text2" w:themeFillTint="E6"/>
            <w:vAlign w:val="center"/>
          </w:tcPr>
          <w:p w14:paraId="7157BCC3" w14:textId="77777777"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B765A5" w:rsidRPr="007E08F7" w14:paraId="1ABAB9F2" w14:textId="77777777" w:rsidTr="00396E36">
        <w:trPr>
          <w:trHeight w:val="350"/>
          <w:jc w:val="center"/>
        </w:trPr>
        <w:tc>
          <w:tcPr>
            <w:tcW w:w="2578" w:type="pct"/>
            <w:vAlign w:val="center"/>
          </w:tcPr>
          <w:p w14:paraId="463640FC" w14:textId="00985D1A"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Przewozy pasażerów transportem</w:t>
            </w:r>
            <w:r w:rsidR="00396E36" w:rsidRPr="007E08F7">
              <w:rPr>
                <w:rFonts w:eastAsia="Aptos" w:cs="Calibri"/>
                <w:kern w:val="2"/>
                <w14:ligatures w14:val="standardContextual"/>
              </w:rPr>
              <w:t xml:space="preserve"> </w:t>
            </w:r>
            <w:r w:rsidRPr="007E08F7">
              <w:rPr>
                <w:rFonts w:eastAsia="Aptos" w:cs="Calibri"/>
                <w:kern w:val="2"/>
                <w14:ligatures w14:val="standardContextual"/>
              </w:rPr>
              <w:t>autobusowym międzymiastowym [pasażerokilometry]</w:t>
            </w:r>
          </w:p>
        </w:tc>
        <w:tc>
          <w:tcPr>
            <w:tcW w:w="705" w:type="pct"/>
            <w:vAlign w:val="center"/>
          </w:tcPr>
          <w:p w14:paraId="2A67D2D3" w14:textId="46343A54" w:rsidR="00B765A5" w:rsidRPr="007E08F7" w:rsidRDefault="00B765A5" w:rsidP="00396E36">
            <w:pPr>
              <w:spacing w:after="120" w:line="276" w:lineRule="auto"/>
              <w:rPr>
                <w:rFonts w:eastAsia="Aptos" w:cs="Aptos"/>
                <w:kern w:val="2"/>
                <w14:ligatures w14:val="standardContextual"/>
              </w:rPr>
            </w:pPr>
            <w:r w:rsidRPr="007E08F7">
              <w:rPr>
                <w:rFonts w:eastAsia="Aptos" w:cs="Aptos"/>
              </w:rPr>
              <w:t>763,6 mln</w:t>
            </w:r>
            <w:r w:rsidR="00396E36" w:rsidRPr="007E08F7">
              <w:rPr>
                <w:rFonts w:eastAsia="Aptos" w:cs="Aptos"/>
              </w:rPr>
              <w:t xml:space="preserve"> </w:t>
            </w:r>
            <w:r w:rsidRPr="007E08F7">
              <w:rPr>
                <w:rFonts w:eastAsia="Aptos" w:cs="Aptos"/>
              </w:rPr>
              <w:t>(2024)</w:t>
            </w:r>
          </w:p>
        </w:tc>
        <w:tc>
          <w:tcPr>
            <w:tcW w:w="1017" w:type="pct"/>
            <w:vAlign w:val="center"/>
          </w:tcPr>
          <w:p w14:paraId="6C0FA2DF"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do uzupełnienia</w:t>
            </w:r>
          </w:p>
        </w:tc>
        <w:tc>
          <w:tcPr>
            <w:tcW w:w="700" w:type="pct"/>
            <w:vAlign w:val="center"/>
          </w:tcPr>
          <w:p w14:paraId="2EE82406"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GUS</w:t>
            </w:r>
          </w:p>
        </w:tc>
      </w:tr>
      <w:tr w:rsidR="00B765A5" w:rsidRPr="007E08F7" w14:paraId="4568F631" w14:textId="77777777" w:rsidTr="00396E36">
        <w:trPr>
          <w:trHeight w:val="350"/>
          <w:jc w:val="center"/>
        </w:trPr>
        <w:tc>
          <w:tcPr>
            <w:tcW w:w="2578" w:type="pct"/>
            <w:vAlign w:val="center"/>
          </w:tcPr>
          <w:p w14:paraId="087C427F" w14:textId="7CAAD518"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Liczba stacji kolejowych o</w:t>
            </w:r>
            <w:r w:rsidR="00396E36" w:rsidRPr="007E08F7">
              <w:rPr>
                <w:rFonts w:eastAsia="Aptos" w:cs="Calibri"/>
                <w:kern w:val="2"/>
                <w14:ligatures w14:val="standardContextual"/>
              </w:rPr>
              <w:t> </w:t>
            </w:r>
            <w:r w:rsidRPr="007E08F7">
              <w:rPr>
                <w:rFonts w:eastAsia="Aptos" w:cs="Calibri"/>
                <w:kern w:val="2"/>
                <w14:ligatures w14:val="standardContextual"/>
              </w:rPr>
              <w:t>wymianie</w:t>
            </w:r>
            <w:r w:rsidR="00396E36" w:rsidRPr="007E08F7">
              <w:rPr>
                <w:rFonts w:eastAsia="Aptos" w:cs="Calibri"/>
                <w:kern w:val="2"/>
                <w14:ligatures w14:val="standardContextual"/>
              </w:rPr>
              <w:t> </w:t>
            </w:r>
            <w:r w:rsidRPr="007E08F7">
              <w:rPr>
                <w:rFonts w:eastAsia="Aptos" w:cs="Calibri"/>
                <w:kern w:val="2"/>
                <w14:ligatures w14:val="standardContextual"/>
              </w:rPr>
              <w:t>pasażerskiej powyżej</w:t>
            </w:r>
            <w:r w:rsidR="00396E36" w:rsidRPr="007E08F7">
              <w:rPr>
                <w:rFonts w:eastAsia="Aptos" w:cs="Calibri"/>
                <w:kern w:val="2"/>
                <w14:ligatures w14:val="standardContextual"/>
              </w:rPr>
              <w:t> </w:t>
            </w:r>
            <w:r w:rsidRPr="007E08F7">
              <w:rPr>
                <w:rFonts w:eastAsia="Aptos" w:cs="Calibri"/>
                <w:kern w:val="2"/>
                <w14:ligatures w14:val="standardContextual"/>
              </w:rPr>
              <w:t>100</w:t>
            </w:r>
            <w:r w:rsidR="00396E36" w:rsidRPr="007E08F7">
              <w:rPr>
                <w:rFonts w:eastAsia="Aptos" w:cs="Calibri"/>
                <w:kern w:val="2"/>
                <w14:ligatures w14:val="standardContextual"/>
              </w:rPr>
              <w:t> </w:t>
            </w:r>
            <w:r w:rsidRPr="007E08F7">
              <w:rPr>
                <w:rFonts w:eastAsia="Aptos" w:cs="Calibri"/>
                <w:kern w:val="2"/>
                <w14:ligatures w14:val="standardContextual"/>
              </w:rPr>
              <w:t>pasażerów na dobę</w:t>
            </w:r>
          </w:p>
        </w:tc>
        <w:tc>
          <w:tcPr>
            <w:tcW w:w="705" w:type="pct"/>
            <w:vAlign w:val="center"/>
          </w:tcPr>
          <w:p w14:paraId="220FC3DA" w14:textId="36DDAEBF" w:rsidR="00B765A5" w:rsidRPr="007E08F7" w:rsidRDefault="00B765A5" w:rsidP="00396E36">
            <w:pPr>
              <w:spacing w:after="120" w:line="276" w:lineRule="auto"/>
              <w:rPr>
                <w:rFonts w:eastAsia="Aptos" w:cs="Aptos"/>
                <w:kern w:val="2"/>
                <w14:ligatures w14:val="standardContextual"/>
              </w:rPr>
            </w:pPr>
            <w:r w:rsidRPr="007E08F7">
              <w:rPr>
                <w:rFonts w:eastAsia="Aptos" w:cs="Aptos"/>
              </w:rPr>
              <w:t>123</w:t>
            </w:r>
            <w:r w:rsidR="00396E36" w:rsidRPr="007E08F7">
              <w:rPr>
                <w:rFonts w:eastAsia="Aptos" w:cs="Aptos"/>
              </w:rPr>
              <w:t xml:space="preserve"> </w:t>
            </w:r>
            <w:r w:rsidR="00396E36" w:rsidRPr="007E08F7">
              <w:rPr>
                <w:rFonts w:eastAsia="Aptos" w:cs="Aptos"/>
              </w:rPr>
              <w:br/>
            </w:r>
            <w:r w:rsidRPr="007E08F7">
              <w:rPr>
                <w:rFonts w:eastAsia="Aptos" w:cs="Aptos"/>
              </w:rPr>
              <w:t>(2025)</w:t>
            </w:r>
          </w:p>
        </w:tc>
        <w:tc>
          <w:tcPr>
            <w:tcW w:w="1017" w:type="pct"/>
            <w:vAlign w:val="center"/>
          </w:tcPr>
          <w:p w14:paraId="51D94122"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do uzupełnienia</w:t>
            </w:r>
          </w:p>
        </w:tc>
        <w:tc>
          <w:tcPr>
            <w:tcW w:w="700" w:type="pct"/>
            <w:vAlign w:val="center"/>
          </w:tcPr>
          <w:p w14:paraId="16A4A55F"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UTK</w:t>
            </w:r>
          </w:p>
        </w:tc>
      </w:tr>
      <w:tr w:rsidR="00B765A5" w:rsidRPr="007E08F7" w14:paraId="56B2E19F" w14:textId="77777777" w:rsidTr="00396E36">
        <w:trPr>
          <w:trHeight w:val="350"/>
          <w:jc w:val="center"/>
        </w:trPr>
        <w:tc>
          <w:tcPr>
            <w:tcW w:w="2578" w:type="pct"/>
            <w:vAlign w:val="center"/>
          </w:tcPr>
          <w:p w14:paraId="66B996FB" w14:textId="31C5488D"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Odsetek mieszkańców zamieszkałych na</w:t>
            </w:r>
            <w:r w:rsidR="00396E36" w:rsidRPr="007E08F7">
              <w:rPr>
                <w:rFonts w:eastAsia="Aptos" w:cs="Calibri"/>
                <w:kern w:val="2"/>
                <w14:ligatures w14:val="standardContextual"/>
              </w:rPr>
              <w:t> </w:t>
            </w:r>
            <w:r w:rsidRPr="007E08F7">
              <w:rPr>
                <w:rFonts w:eastAsia="Aptos" w:cs="Calibri"/>
                <w:kern w:val="2"/>
                <w14:ligatures w14:val="standardContextual"/>
              </w:rPr>
              <w:t>obszarze standardowej czasowej dostępności transportem zbiorowym siedziby powiatu (45 minut)</w:t>
            </w:r>
          </w:p>
        </w:tc>
        <w:tc>
          <w:tcPr>
            <w:tcW w:w="705" w:type="pct"/>
            <w:vAlign w:val="center"/>
          </w:tcPr>
          <w:p w14:paraId="78E20B93" w14:textId="77777777"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85%</w:t>
            </w:r>
            <w:r w:rsidRPr="007E08F7">
              <w:rPr>
                <w:rFonts w:eastAsia="Aptos" w:cs="Calibri"/>
                <w:kern w:val="2"/>
                <w14:ligatures w14:val="standardContextual"/>
              </w:rPr>
              <w:br/>
              <w:t>(2024)</w:t>
            </w:r>
          </w:p>
        </w:tc>
        <w:tc>
          <w:tcPr>
            <w:tcW w:w="1017" w:type="pct"/>
            <w:vAlign w:val="center"/>
          </w:tcPr>
          <w:p w14:paraId="12E2F1ED"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do uzupełnienia</w:t>
            </w:r>
          </w:p>
        </w:tc>
        <w:tc>
          <w:tcPr>
            <w:tcW w:w="700" w:type="pct"/>
            <w:vAlign w:val="center"/>
          </w:tcPr>
          <w:p w14:paraId="2767DDC0"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PBPR</w:t>
            </w:r>
          </w:p>
        </w:tc>
      </w:tr>
      <w:tr w:rsidR="00B765A5" w:rsidRPr="007E08F7" w14:paraId="2447DE80" w14:textId="77777777" w:rsidTr="00396E36">
        <w:trPr>
          <w:trHeight w:val="350"/>
          <w:jc w:val="center"/>
        </w:trPr>
        <w:tc>
          <w:tcPr>
            <w:tcW w:w="2578" w:type="pct"/>
            <w:vAlign w:val="center"/>
          </w:tcPr>
          <w:p w14:paraId="2786668E" w14:textId="5007A87D"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Odsetek mieszkańców zamieszkałych</w:t>
            </w:r>
            <w:r w:rsidR="00396E36" w:rsidRPr="007E08F7">
              <w:rPr>
                <w:rFonts w:eastAsia="Aptos" w:cs="Calibri"/>
                <w:kern w:val="2"/>
                <w14:ligatures w14:val="standardContextual"/>
              </w:rPr>
              <w:t> </w:t>
            </w:r>
            <w:r w:rsidRPr="007E08F7">
              <w:rPr>
                <w:rFonts w:eastAsia="Aptos" w:cs="Calibri"/>
                <w:kern w:val="2"/>
                <w14:ligatures w14:val="standardContextual"/>
              </w:rPr>
              <w:t>na</w:t>
            </w:r>
            <w:r w:rsidR="00396E36" w:rsidRPr="007E08F7">
              <w:rPr>
                <w:rFonts w:eastAsia="Aptos" w:cs="Calibri"/>
                <w:kern w:val="2"/>
                <w14:ligatures w14:val="standardContextual"/>
              </w:rPr>
              <w:t> </w:t>
            </w:r>
            <w:r w:rsidRPr="007E08F7">
              <w:rPr>
                <w:rFonts w:eastAsia="Aptos" w:cs="Calibri"/>
                <w:kern w:val="2"/>
                <w14:ligatures w14:val="standardContextual"/>
              </w:rPr>
              <w:t>obszarze standardowej czasowej dostępności transportem zbiorowym Gdańska (90</w:t>
            </w:r>
            <w:r w:rsidR="00AD5F45" w:rsidRPr="007E08F7">
              <w:rPr>
                <w:rFonts w:eastAsia="Aptos" w:cs="Calibri"/>
                <w:kern w:val="2"/>
                <w14:ligatures w14:val="standardContextual"/>
              </w:rPr>
              <w:t xml:space="preserve"> </w:t>
            </w:r>
            <w:r w:rsidRPr="007E08F7">
              <w:rPr>
                <w:rFonts w:eastAsia="Aptos" w:cs="Calibri"/>
                <w:kern w:val="2"/>
                <w14:ligatures w14:val="standardContextual"/>
              </w:rPr>
              <w:t>minut)</w:t>
            </w:r>
          </w:p>
        </w:tc>
        <w:tc>
          <w:tcPr>
            <w:tcW w:w="705" w:type="pct"/>
            <w:vAlign w:val="center"/>
          </w:tcPr>
          <w:p w14:paraId="6A192E99" w14:textId="77777777"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66%</w:t>
            </w:r>
            <w:r w:rsidRPr="007E08F7">
              <w:rPr>
                <w:rFonts w:eastAsia="Aptos" w:cs="Calibri"/>
                <w:kern w:val="2"/>
                <w14:ligatures w14:val="standardContextual"/>
              </w:rPr>
              <w:br/>
              <w:t>(2024)</w:t>
            </w:r>
          </w:p>
        </w:tc>
        <w:tc>
          <w:tcPr>
            <w:tcW w:w="1017" w:type="pct"/>
            <w:vAlign w:val="center"/>
          </w:tcPr>
          <w:p w14:paraId="631D9BB1"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do uzupełnienia</w:t>
            </w:r>
          </w:p>
        </w:tc>
        <w:tc>
          <w:tcPr>
            <w:tcW w:w="700" w:type="pct"/>
            <w:vAlign w:val="center"/>
          </w:tcPr>
          <w:p w14:paraId="01EAB5AA"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PBPR</w:t>
            </w:r>
          </w:p>
        </w:tc>
      </w:tr>
      <w:tr w:rsidR="00B765A5" w:rsidRPr="007E08F7" w14:paraId="5CDDB23A" w14:textId="77777777" w:rsidTr="00396E36">
        <w:trPr>
          <w:trHeight w:val="350"/>
          <w:jc w:val="center"/>
        </w:trPr>
        <w:tc>
          <w:tcPr>
            <w:tcW w:w="2578" w:type="pct"/>
            <w:vAlign w:val="center"/>
          </w:tcPr>
          <w:p w14:paraId="742FA0A0" w14:textId="77777777"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Odsetek miejscowości wiejskich obsługiwanych przez transport zbiorowy</w:t>
            </w:r>
          </w:p>
        </w:tc>
        <w:tc>
          <w:tcPr>
            <w:tcW w:w="705" w:type="pct"/>
            <w:vAlign w:val="center"/>
          </w:tcPr>
          <w:p w14:paraId="62321FF2" w14:textId="77777777" w:rsidR="00B765A5" w:rsidRPr="007E08F7" w:rsidRDefault="00B765A5" w:rsidP="00396E36">
            <w:pPr>
              <w:spacing w:after="120" w:line="276" w:lineRule="auto"/>
              <w:rPr>
                <w:rFonts w:eastAsia="Aptos" w:cs="Calibri"/>
                <w:kern w:val="2"/>
                <w14:ligatures w14:val="standardContextual"/>
              </w:rPr>
            </w:pPr>
            <w:r w:rsidRPr="007E08F7">
              <w:rPr>
                <w:rFonts w:eastAsia="Aptos" w:cs="Calibri"/>
                <w:kern w:val="2"/>
                <w14:ligatures w14:val="standardContextual"/>
              </w:rPr>
              <w:t>68%</w:t>
            </w:r>
            <w:r w:rsidRPr="007E08F7">
              <w:rPr>
                <w:rFonts w:eastAsia="Aptos" w:cs="Calibri"/>
                <w:kern w:val="2"/>
                <w14:ligatures w14:val="standardContextual"/>
              </w:rPr>
              <w:br/>
              <w:t>(2024)</w:t>
            </w:r>
          </w:p>
        </w:tc>
        <w:tc>
          <w:tcPr>
            <w:tcW w:w="1017" w:type="pct"/>
            <w:vAlign w:val="center"/>
          </w:tcPr>
          <w:p w14:paraId="380070A4"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do uzupełnienia</w:t>
            </w:r>
          </w:p>
        </w:tc>
        <w:tc>
          <w:tcPr>
            <w:tcW w:w="700" w:type="pct"/>
            <w:vAlign w:val="center"/>
          </w:tcPr>
          <w:p w14:paraId="03EE025F" w14:textId="77777777" w:rsidR="00B765A5" w:rsidRPr="007E08F7" w:rsidRDefault="00B765A5" w:rsidP="00396E36">
            <w:pPr>
              <w:spacing w:after="120" w:line="276" w:lineRule="auto"/>
              <w:rPr>
                <w:rFonts w:eastAsia="Aptos" w:cs="Aptos"/>
                <w:kern w:val="2"/>
                <w14:ligatures w14:val="standardContextual"/>
              </w:rPr>
            </w:pPr>
            <w:r w:rsidRPr="007E08F7">
              <w:rPr>
                <w:rFonts w:eastAsia="Aptos" w:cs="Aptos"/>
                <w:kern w:val="2"/>
                <w14:ligatures w14:val="standardContextual"/>
              </w:rPr>
              <w:t>PBPR</w:t>
            </w:r>
          </w:p>
        </w:tc>
      </w:tr>
    </w:tbl>
    <w:p w14:paraId="217004F2" w14:textId="0836A268" w:rsidR="007D4D62" w:rsidRPr="007E08F7" w:rsidRDefault="007D4D62" w:rsidP="00396E36">
      <w:pPr>
        <w:pStyle w:val="Nagwek4"/>
        <w:spacing w:before="360"/>
        <w:rPr>
          <w:rFonts w:eastAsia="Calibri"/>
          <w:iCs w:val="0"/>
        </w:rPr>
      </w:pPr>
      <w:r w:rsidRPr="007E08F7">
        <w:rPr>
          <w:rFonts w:eastAsia="Calibri"/>
          <w:iCs w:val="0"/>
        </w:rPr>
        <w:t>Postulaty wobec władz centralnych</w:t>
      </w:r>
      <w:r w:rsidR="0024620F" w:rsidRPr="007E08F7">
        <w:rPr>
          <w:iCs w:val="0"/>
        </w:rPr>
        <w:t xml:space="preserve"> CO 3.3</w:t>
      </w:r>
    </w:p>
    <w:p w14:paraId="4AFEB17E" w14:textId="77777777" w:rsidR="007D4D62" w:rsidRPr="007E08F7" w:rsidRDefault="007D4D62">
      <w:pPr>
        <w:pStyle w:val="Akapitzlist"/>
        <w:numPr>
          <w:ilvl w:val="0"/>
          <w:numId w:val="56"/>
        </w:numPr>
        <w:spacing w:before="120" w:after="120" w:line="288" w:lineRule="auto"/>
        <w:ind w:left="284" w:hanging="284"/>
        <w:contextualSpacing w:val="0"/>
        <w:rPr>
          <w:rFonts w:cstheme="minorHAnsi"/>
        </w:rPr>
      </w:pPr>
      <w:r w:rsidRPr="007E08F7">
        <w:rPr>
          <w:rFonts w:cstheme="minorHAnsi"/>
        </w:rPr>
        <w:t>Zmiana ustawy o publicznym transporcie zbiorowym umożlwiająca rozwój zrównoważonej i spójnej sieci powiązań publicznym transportem zbiorowym oraz organizację transportu zamawianego.</w:t>
      </w:r>
    </w:p>
    <w:p w14:paraId="1955D477" w14:textId="6EEF3570" w:rsidR="00ED14F1" w:rsidRPr="007E08F7" w:rsidRDefault="007D4D62">
      <w:pPr>
        <w:pStyle w:val="Akapitzlist"/>
        <w:numPr>
          <w:ilvl w:val="0"/>
          <w:numId w:val="56"/>
        </w:numPr>
        <w:spacing w:before="120" w:after="120" w:line="288" w:lineRule="auto"/>
        <w:ind w:left="284" w:hanging="284"/>
        <w:contextualSpacing w:val="0"/>
        <w:rPr>
          <w:rFonts w:cstheme="minorHAnsi"/>
        </w:rPr>
      </w:pPr>
      <w:r w:rsidRPr="007E08F7">
        <w:rPr>
          <w:rFonts w:cstheme="minorHAnsi"/>
        </w:rPr>
        <w:t>Zmiany ram prawnych w zakresie ulg oraz taryf porządkujące system ulg w</w:t>
      </w:r>
      <w:r w:rsidR="00396E36" w:rsidRPr="007E08F7">
        <w:rPr>
          <w:rFonts w:cstheme="minorHAnsi"/>
        </w:rPr>
        <w:t> </w:t>
      </w:r>
      <w:r w:rsidRPr="007E08F7">
        <w:rPr>
          <w:rFonts w:cstheme="minorHAnsi"/>
        </w:rPr>
        <w:t>publicznym transporcie zbiorowym, pozwalające na odzyskiwanie środków z tytułu ulg ustawowych w transporcie kolejowym przez organizatorów oraz umożlwiające efektywne łączenie różnych środków transportu</w:t>
      </w:r>
      <w:r w:rsidR="00ED14F1" w:rsidRPr="007E08F7">
        <w:t>.</w:t>
      </w:r>
      <w:r w:rsidR="00ED14F1" w:rsidRPr="007E08F7">
        <w:rPr>
          <w:rFonts w:cstheme="minorHAnsi"/>
          <w:b/>
          <w:bCs/>
          <w:shd w:val="clear" w:color="auto" w:fill="CCFFCC"/>
        </w:rPr>
        <w:br w:type="page"/>
      </w:r>
    </w:p>
    <w:p w14:paraId="0CC4A882" w14:textId="77777777" w:rsidR="00ED14F1" w:rsidRPr="007E08F7" w:rsidRDefault="00ED14F1" w:rsidP="002F715A">
      <w:pPr>
        <w:pStyle w:val="Nagwek3"/>
      </w:pPr>
      <w:bookmarkStart w:id="67" w:name="_Toc239772094"/>
      <w:r w:rsidRPr="007E08F7">
        <w:lastRenderedPageBreak/>
        <w:t>Cel operacyjny 3.4. Przestrzeń dla społeczności</w:t>
      </w:r>
      <w:bookmarkEnd w:id="67"/>
    </w:p>
    <w:p w14:paraId="6F813D71" w14:textId="472DA2BF" w:rsidR="00ED14F1" w:rsidRPr="007E08F7" w:rsidRDefault="00ED14F1" w:rsidP="0086073D">
      <w:pPr>
        <w:pStyle w:val="Nagwek4"/>
        <w:rPr>
          <w:iCs w:val="0"/>
        </w:rPr>
      </w:pPr>
      <w:r w:rsidRPr="007E08F7">
        <w:rPr>
          <w:iCs w:val="0"/>
        </w:rPr>
        <w:t>Przesłanki realizacji Celu operacyjnego</w:t>
      </w:r>
      <w:r w:rsidR="0024620F" w:rsidRPr="007E08F7">
        <w:rPr>
          <w:iCs w:val="0"/>
        </w:rPr>
        <w:t xml:space="preserve"> 3.4</w:t>
      </w:r>
    </w:p>
    <w:p w14:paraId="6B728F82" w14:textId="6159176B" w:rsidR="007D4D62" w:rsidRPr="007E08F7" w:rsidRDefault="00ED14F1" w:rsidP="007D4D62">
      <w:pPr>
        <w:spacing w:before="120" w:after="120" w:line="288" w:lineRule="auto"/>
        <w:rPr>
          <w:rFonts w:eastAsia="Aptos"/>
        </w:rPr>
      </w:pPr>
      <w:r w:rsidRPr="007E08F7">
        <w:rPr>
          <w:rFonts w:eastAsia="Aptos"/>
        </w:rPr>
        <w:t>Dla</w:t>
      </w:r>
      <w:r w:rsidR="007D4D62" w:rsidRPr="007E08F7">
        <w:rPr>
          <w:rFonts w:eastAsia="Aptos"/>
        </w:rPr>
        <w:t xml:space="preserve"> budowy wieloośrodkowego Pomorza niezbędna jest przyjazna, funkcjonalna i</w:t>
      </w:r>
      <w:r w:rsidR="002455C8" w:rsidRPr="007E08F7">
        <w:rPr>
          <w:rFonts w:eastAsia="Aptos"/>
        </w:rPr>
        <w:t> </w:t>
      </w:r>
      <w:r w:rsidR="007D4D62" w:rsidRPr="007E08F7">
        <w:rPr>
          <w:rFonts w:eastAsia="Aptos"/>
        </w:rPr>
        <w:t>estetyczna przestrzeń publiczna będąca płaszczyzną dla realizacji usług publicznych i</w:t>
      </w:r>
      <w:r w:rsidR="002455C8" w:rsidRPr="007E08F7">
        <w:rPr>
          <w:rFonts w:eastAsia="Aptos"/>
        </w:rPr>
        <w:t> </w:t>
      </w:r>
      <w:r w:rsidR="007D4D62" w:rsidRPr="007E08F7">
        <w:rPr>
          <w:rFonts w:eastAsia="Aptos"/>
        </w:rPr>
        <w:t>aktywizacji społecznej. Pomimo zrealizowania wielu inicjatyw w tym zakresie, zarówno na zdegradowanych obszarach miast, jak i na terenach wiejskich, widoczny jest wciąż niewystarczający zasób przestrzeni publicznych dobrej jakości.</w:t>
      </w:r>
    </w:p>
    <w:p w14:paraId="24F8600B" w14:textId="17C33C96" w:rsidR="007D4D62" w:rsidRPr="007E08F7" w:rsidRDefault="007D4D62" w:rsidP="007D4D62">
      <w:pPr>
        <w:spacing w:before="120" w:after="120" w:line="288" w:lineRule="auto"/>
        <w:rPr>
          <w:rFonts w:eastAsia="Aptos"/>
        </w:rPr>
      </w:pPr>
      <w:r w:rsidRPr="007E08F7">
        <w:rPr>
          <w:rFonts w:eastAsia="Aptos"/>
        </w:rPr>
        <w:t>Wiąże się to z wieloletnimi zaniedbaniami w tym zakresie oraz kształtowaniem przestrzeni często w sposób fragmentaryczny i nieskoordynowany, a także abstrahujący od kontekstu historycznego, urbanistycznego i potrzeb środowiskowych. Ważne jest także ścisłe powiązanie działań w przestrzeni publicznej z inicjatywami mającymi na</w:t>
      </w:r>
      <w:r w:rsidR="00396E36" w:rsidRPr="007E08F7">
        <w:rPr>
          <w:rFonts w:eastAsia="Aptos"/>
        </w:rPr>
        <w:t> </w:t>
      </w:r>
      <w:r w:rsidRPr="007E08F7">
        <w:rPr>
          <w:rFonts w:eastAsia="Aptos"/>
        </w:rPr>
        <w:t>celu włączanie mieszkańców w procesy zachodzące w ich najbliższym otoczeniu, przede wszystkim w wymiarze społecznym, kulturalnym, gospodarczym i</w:t>
      </w:r>
      <w:r w:rsidR="00396E36" w:rsidRPr="007E08F7">
        <w:rPr>
          <w:rFonts w:eastAsia="Aptos"/>
        </w:rPr>
        <w:t> </w:t>
      </w:r>
      <w:r w:rsidRPr="007E08F7">
        <w:rPr>
          <w:rFonts w:eastAsia="Aptos"/>
        </w:rPr>
        <w:t xml:space="preserve">środowiskowym. </w:t>
      </w:r>
    </w:p>
    <w:p w14:paraId="67895C89" w14:textId="77777777" w:rsidR="007D4D62" w:rsidRPr="007E08F7" w:rsidRDefault="007D4D62" w:rsidP="007D4D62">
      <w:pPr>
        <w:spacing w:before="120" w:after="120" w:line="288" w:lineRule="auto"/>
        <w:rPr>
          <w:rFonts w:eastAsia="Aptos"/>
        </w:rPr>
      </w:pPr>
      <w:r w:rsidRPr="007E08F7">
        <w:rPr>
          <w:rFonts w:eastAsia="Aptos"/>
        </w:rPr>
        <w:t xml:space="preserve">Kluczowa jest zatem realizacja przedsięwzięć wpływających na rozwój integrujących przestrzeni publicznych, a także kontunuowanie działań służących wdrażaniu kompleksowych programów rewitalizacji dla miejskich obszarów zdegradowanych. Konieczne jest również wzmocnienie działań budujących świadomość kluczowych interesariuszy w zakresie planowania przestrzennego oraz funkcjonalności i estetyki przestrzeni. </w:t>
      </w:r>
    </w:p>
    <w:p w14:paraId="1BAFEC1B" w14:textId="0B7AB0F4" w:rsidR="007D4D62" w:rsidRPr="007E08F7" w:rsidRDefault="007D4D62" w:rsidP="0086073D">
      <w:pPr>
        <w:pStyle w:val="Nagwek4"/>
        <w:rPr>
          <w:iCs w:val="0"/>
        </w:rPr>
      </w:pPr>
      <w:r w:rsidRPr="007E08F7">
        <w:rPr>
          <w:iCs w:val="0"/>
        </w:rPr>
        <w:t xml:space="preserve">Ukierunkowanie tematyczne </w:t>
      </w:r>
      <w:r w:rsidR="0024620F" w:rsidRPr="007E08F7">
        <w:rPr>
          <w:iCs w:val="0"/>
        </w:rPr>
        <w:t xml:space="preserve">CO 3.4 </w:t>
      </w:r>
      <w:r w:rsidR="0024620F" w:rsidRPr="007E08F7">
        <w:rPr>
          <w:iCs w:val="0"/>
        </w:rPr>
        <w:br/>
      </w:r>
      <w:r w:rsidRPr="007E08F7">
        <w:rPr>
          <w:iCs w:val="0"/>
        </w:rPr>
        <w:t>(kluczowe kierunki interwencji i działania)</w:t>
      </w:r>
    </w:p>
    <w:p w14:paraId="470196B5" w14:textId="77777777" w:rsidR="007D4D62" w:rsidRPr="007E08F7" w:rsidRDefault="007D4D62" w:rsidP="007D4D62">
      <w:pPr>
        <w:spacing w:before="120" w:after="120" w:line="288" w:lineRule="auto"/>
      </w:pPr>
      <w:r w:rsidRPr="007E08F7">
        <w:rPr>
          <w:b/>
          <w:bCs/>
        </w:rPr>
        <w:t>3.4.1</w:t>
      </w:r>
      <w:r w:rsidRPr="007E08F7">
        <w:br/>
        <w:t>Rewitalizacja obszarów zdegradowanych w miastach.</w:t>
      </w:r>
    </w:p>
    <w:p w14:paraId="22FF81DC" w14:textId="77777777" w:rsidR="007D4D62" w:rsidRPr="007E08F7" w:rsidRDefault="007D4D62" w:rsidP="007D4D62">
      <w:pPr>
        <w:spacing w:before="120" w:after="120" w:line="288" w:lineRule="auto"/>
        <w:rPr>
          <w:rFonts w:cstheme="minorHAnsi"/>
        </w:rPr>
      </w:pPr>
      <w:r w:rsidRPr="007E08F7">
        <w:rPr>
          <w:b/>
          <w:bCs/>
        </w:rPr>
        <w:t>3.4.2</w:t>
      </w:r>
      <w:r w:rsidRPr="007E08F7">
        <w:br/>
      </w:r>
      <w:r w:rsidRPr="007E08F7">
        <w:rPr>
          <w:rFonts w:cstheme="minorHAnsi"/>
        </w:rPr>
        <w:t>Zagospodarowanie przestrzeni publicznych w sposób integrujący społeczności lokalne, w szczególności na cele społeczne, kulturalne, sportowe, rekreacyjne i turystyczne.</w:t>
      </w:r>
    </w:p>
    <w:p w14:paraId="3F25A22C" w14:textId="1BE3E382" w:rsidR="007D4D62" w:rsidRPr="007E08F7" w:rsidRDefault="007D4D62" w:rsidP="007D4D62">
      <w:pPr>
        <w:spacing w:before="120" w:after="120" w:line="288" w:lineRule="auto"/>
        <w:rPr>
          <w:rFonts w:cstheme="minorHAnsi"/>
        </w:rPr>
      </w:pPr>
      <w:r w:rsidRPr="007E08F7">
        <w:rPr>
          <w:rFonts w:cstheme="minorHAnsi"/>
          <w:b/>
          <w:bCs/>
        </w:rPr>
        <w:t>3.4.3</w:t>
      </w:r>
      <w:r w:rsidRPr="007E08F7">
        <w:br/>
      </w:r>
      <w:r w:rsidRPr="007E08F7">
        <w:rPr>
          <w:rFonts w:cstheme="minorHAnsi"/>
        </w:rPr>
        <w:t>Skoordynowane działania edukacyjne w zakresie planowania przestrzennego i</w:t>
      </w:r>
      <w:r w:rsidR="002455C8" w:rsidRPr="007E08F7">
        <w:rPr>
          <w:rFonts w:cstheme="minorHAnsi"/>
        </w:rPr>
        <w:t> </w:t>
      </w:r>
      <w:r w:rsidRPr="007E08F7">
        <w:rPr>
          <w:rFonts w:cstheme="minorHAnsi"/>
        </w:rPr>
        <w:t>przestrzeni publicznych skierowane w szczególności do mieszkańców, JST oraz organizacji pozarządowych.</w:t>
      </w:r>
    </w:p>
    <w:p w14:paraId="21CB563E" w14:textId="3EF23A49" w:rsidR="007D4D62" w:rsidRPr="007E08F7" w:rsidRDefault="007D4D62" w:rsidP="0086073D">
      <w:pPr>
        <w:pStyle w:val="Nagwek4"/>
        <w:rPr>
          <w:iCs w:val="0"/>
        </w:rPr>
      </w:pPr>
      <w:r w:rsidRPr="007E08F7">
        <w:rPr>
          <w:iCs w:val="0"/>
        </w:rPr>
        <w:t>Ukierunkowanie terytorialne</w:t>
      </w:r>
      <w:r w:rsidR="0024620F" w:rsidRPr="007E08F7">
        <w:rPr>
          <w:iCs w:val="0"/>
        </w:rPr>
        <w:t xml:space="preserve"> CO 3.4 </w:t>
      </w:r>
    </w:p>
    <w:p w14:paraId="10B83D5A" w14:textId="77777777" w:rsidR="007D4D62" w:rsidRPr="007E08F7" w:rsidRDefault="007D4D62">
      <w:pPr>
        <w:numPr>
          <w:ilvl w:val="0"/>
          <w:numId w:val="27"/>
        </w:numPr>
        <w:spacing w:before="120" w:after="120" w:line="288" w:lineRule="auto"/>
        <w:ind w:left="284" w:hanging="284"/>
        <w:rPr>
          <w:rFonts w:cstheme="minorHAnsi"/>
        </w:rPr>
      </w:pPr>
      <w:r w:rsidRPr="007E08F7">
        <w:rPr>
          <w:rFonts w:cstheme="minorHAnsi"/>
        </w:rPr>
        <w:t>Zdegradowane obszary miejskie (w zakresie rewitalizacji);</w:t>
      </w:r>
    </w:p>
    <w:p w14:paraId="07165B59" w14:textId="77777777" w:rsidR="007D4D62" w:rsidRPr="007E08F7" w:rsidRDefault="007D4D62">
      <w:pPr>
        <w:numPr>
          <w:ilvl w:val="0"/>
          <w:numId w:val="27"/>
        </w:numPr>
        <w:spacing w:before="120" w:after="120" w:line="288" w:lineRule="auto"/>
        <w:ind w:left="284" w:hanging="284"/>
        <w:rPr>
          <w:rFonts w:cstheme="minorHAnsi"/>
        </w:rPr>
      </w:pPr>
      <w:r w:rsidRPr="007E08F7">
        <w:rPr>
          <w:rFonts w:cstheme="minorHAnsi"/>
        </w:rPr>
        <w:t>Obszary wiejskie (w zakresie zagospodarowania przestrzeni publicznych);</w:t>
      </w:r>
    </w:p>
    <w:p w14:paraId="48040B40" w14:textId="044EBB4A" w:rsidR="007D4D62" w:rsidRPr="007E08F7" w:rsidRDefault="007D4D62">
      <w:pPr>
        <w:numPr>
          <w:ilvl w:val="0"/>
          <w:numId w:val="27"/>
        </w:numPr>
        <w:spacing w:before="120" w:after="120" w:line="288" w:lineRule="auto"/>
        <w:ind w:left="284" w:hanging="284"/>
        <w:rPr>
          <w:rFonts w:cstheme="minorHAnsi"/>
        </w:rPr>
      </w:pPr>
      <w:r w:rsidRPr="007E08F7">
        <w:rPr>
          <w:rFonts w:cstheme="minorHAnsi"/>
        </w:rPr>
        <w:lastRenderedPageBreak/>
        <w:t>Całe województwo (w zakresie działań edukacyjnych).</w:t>
      </w:r>
    </w:p>
    <w:p w14:paraId="5E306F7D" w14:textId="05CE135A" w:rsidR="007D4D62" w:rsidRPr="007E08F7" w:rsidRDefault="007D4D62" w:rsidP="0086073D">
      <w:pPr>
        <w:pStyle w:val="Nagwek4"/>
        <w:rPr>
          <w:iCs w:val="0"/>
        </w:rPr>
      </w:pPr>
      <w:r w:rsidRPr="007E08F7">
        <w:rPr>
          <w:iCs w:val="0"/>
        </w:rPr>
        <w:t>Oczekiwane rezultaty</w:t>
      </w:r>
      <w:r w:rsidR="0024620F" w:rsidRPr="007E08F7">
        <w:rPr>
          <w:iCs w:val="0"/>
        </w:rPr>
        <w:t xml:space="preserve"> CO 3.4 </w:t>
      </w:r>
    </w:p>
    <w:p w14:paraId="0331F511" w14:textId="77777777" w:rsidR="007D4D62" w:rsidRPr="007E08F7" w:rsidRDefault="007D4D62">
      <w:pPr>
        <w:numPr>
          <w:ilvl w:val="0"/>
          <w:numId w:val="29"/>
        </w:numPr>
        <w:spacing w:before="120" w:after="120" w:line="288" w:lineRule="auto"/>
        <w:rPr>
          <w:rFonts w:cstheme="minorHAnsi"/>
        </w:rPr>
      </w:pPr>
      <w:r w:rsidRPr="007E08F7">
        <w:rPr>
          <w:rFonts w:cstheme="minorHAnsi"/>
        </w:rPr>
        <w:t>Ograniczenie poziomu wykluczenia społecznego w pomorskich miastach.</w:t>
      </w:r>
    </w:p>
    <w:p w14:paraId="2E933ACF" w14:textId="77777777" w:rsidR="007D4D62" w:rsidRPr="007E08F7" w:rsidRDefault="007D4D62">
      <w:pPr>
        <w:numPr>
          <w:ilvl w:val="0"/>
          <w:numId w:val="29"/>
        </w:numPr>
        <w:spacing w:before="120" w:after="120" w:line="288" w:lineRule="auto"/>
        <w:rPr>
          <w:rFonts w:cstheme="minorHAnsi"/>
        </w:rPr>
      </w:pPr>
      <w:r w:rsidRPr="007E08F7">
        <w:rPr>
          <w:rFonts w:cstheme="minorHAnsi"/>
        </w:rPr>
        <w:t xml:space="preserve">Wzmocnienie, integracja i aktywizacja lokalnych społeczności na terenach wiejskich. </w:t>
      </w:r>
    </w:p>
    <w:p w14:paraId="6143E26E" w14:textId="3F980BE6" w:rsidR="007D4D62" w:rsidRPr="007E08F7" w:rsidRDefault="007D4D62">
      <w:pPr>
        <w:numPr>
          <w:ilvl w:val="0"/>
          <w:numId w:val="29"/>
        </w:numPr>
        <w:spacing w:before="120" w:after="120" w:line="288" w:lineRule="auto"/>
        <w:rPr>
          <w:rFonts w:cstheme="minorHAnsi"/>
        </w:rPr>
      </w:pPr>
      <w:r w:rsidRPr="007E08F7">
        <w:rPr>
          <w:rFonts w:cstheme="minorHAnsi"/>
        </w:rPr>
        <w:t>Wzrost wiedzy kluczowych interesariuszy w zakresie planowania przestrzennego i</w:t>
      </w:r>
      <w:r w:rsidR="002455C8" w:rsidRPr="007E08F7">
        <w:rPr>
          <w:rFonts w:cstheme="minorHAnsi"/>
        </w:rPr>
        <w:t> </w:t>
      </w:r>
      <w:r w:rsidRPr="007E08F7">
        <w:rPr>
          <w:rFonts w:cstheme="minorHAnsi"/>
        </w:rPr>
        <w:t>przestrzeni publicznych.</w:t>
      </w:r>
    </w:p>
    <w:p w14:paraId="04526E88" w14:textId="34F29706" w:rsidR="007D4D62" w:rsidRPr="007E08F7" w:rsidRDefault="007D4D62" w:rsidP="0086073D">
      <w:pPr>
        <w:pStyle w:val="Nagwek4"/>
        <w:rPr>
          <w:iCs w:val="0"/>
        </w:rPr>
      </w:pPr>
      <w:r w:rsidRPr="007E08F7">
        <w:rPr>
          <w:iCs w:val="0"/>
        </w:rPr>
        <w:t xml:space="preserve">Wskaźniki </w:t>
      </w:r>
      <w:r w:rsidR="0024620F" w:rsidRPr="007E08F7">
        <w:rPr>
          <w:iCs w:val="0"/>
        </w:rPr>
        <w:t xml:space="preserve">CO 3.4 </w:t>
      </w:r>
    </w:p>
    <w:tbl>
      <w:tblPr>
        <w:tblStyle w:val="Tabela-Siatka13"/>
        <w:tblW w:w="5000" w:type="pct"/>
        <w:tblLook w:val="01E0" w:firstRow="1" w:lastRow="1" w:firstColumn="1" w:lastColumn="1" w:noHBand="0" w:noVBand="0"/>
      </w:tblPr>
      <w:tblGrid>
        <w:gridCol w:w="4531"/>
        <w:gridCol w:w="1247"/>
        <w:gridCol w:w="1731"/>
        <w:gridCol w:w="1553"/>
      </w:tblGrid>
      <w:tr w:rsidR="00B765A5" w:rsidRPr="007E08F7" w14:paraId="30FC2694" w14:textId="77777777" w:rsidTr="00197513">
        <w:trPr>
          <w:tblHeader/>
        </w:trPr>
        <w:tc>
          <w:tcPr>
            <w:tcW w:w="2500" w:type="pct"/>
            <w:tcBorders>
              <w:right w:val="single" w:sz="2" w:space="0" w:color="FFFFFF" w:themeColor="background1"/>
            </w:tcBorders>
            <w:shd w:val="clear" w:color="auto" w:fill="153D63" w:themeFill="text2" w:themeFillTint="E6"/>
            <w:vAlign w:val="center"/>
          </w:tcPr>
          <w:p w14:paraId="2DE81EAF" w14:textId="77777777"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Nazwa</w:t>
            </w:r>
          </w:p>
        </w:tc>
        <w:tc>
          <w:tcPr>
            <w:tcW w:w="688" w:type="pct"/>
            <w:tcBorders>
              <w:left w:val="single" w:sz="2" w:space="0" w:color="FFFFFF" w:themeColor="background1"/>
              <w:right w:val="single" w:sz="2" w:space="0" w:color="FFFFFF" w:themeColor="background1"/>
            </w:tcBorders>
            <w:shd w:val="clear" w:color="auto" w:fill="153D63" w:themeFill="text2" w:themeFillTint="E6"/>
            <w:vAlign w:val="center"/>
          </w:tcPr>
          <w:p w14:paraId="3CEDEC14" w14:textId="77777777"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 xml:space="preserve">Wartość </w:t>
            </w:r>
            <w:r w:rsidRPr="007E08F7">
              <w:rPr>
                <w:rFonts w:eastAsia="Aptos" w:cs="Calibri"/>
                <w:b/>
                <w:color w:val="FFFFFF" w:themeColor="background1"/>
                <w:kern w:val="2"/>
                <w14:ligatures w14:val="standardContextual"/>
              </w:rPr>
              <w:br/>
              <w:t>bazowa</w:t>
            </w:r>
          </w:p>
        </w:tc>
        <w:tc>
          <w:tcPr>
            <w:tcW w:w="955" w:type="pct"/>
            <w:tcBorders>
              <w:left w:val="single" w:sz="2" w:space="0" w:color="FFFFFF" w:themeColor="background1"/>
              <w:right w:val="single" w:sz="2" w:space="0" w:color="FFFFFF" w:themeColor="background1"/>
            </w:tcBorders>
            <w:shd w:val="clear" w:color="auto" w:fill="153D63" w:themeFill="text2" w:themeFillTint="E6"/>
            <w:vAlign w:val="center"/>
          </w:tcPr>
          <w:p w14:paraId="0E868034" w14:textId="77777777"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Wartość docelowa</w:t>
            </w:r>
          </w:p>
        </w:tc>
        <w:tc>
          <w:tcPr>
            <w:tcW w:w="857" w:type="pct"/>
            <w:tcBorders>
              <w:left w:val="single" w:sz="2" w:space="0" w:color="FFFFFF" w:themeColor="background1"/>
            </w:tcBorders>
            <w:shd w:val="clear" w:color="auto" w:fill="153D63" w:themeFill="text2" w:themeFillTint="E6"/>
            <w:vAlign w:val="center"/>
          </w:tcPr>
          <w:p w14:paraId="58F10290" w14:textId="77777777" w:rsidR="00B765A5" w:rsidRPr="007E08F7" w:rsidRDefault="00B765A5" w:rsidP="003D2CB6">
            <w:pPr>
              <w:spacing w:line="259" w:lineRule="auto"/>
              <w:rPr>
                <w:rFonts w:eastAsia="Aptos" w:cs="Calibri"/>
                <w:b/>
                <w:color w:val="FFFFFF" w:themeColor="background1"/>
                <w:kern w:val="2"/>
                <w14:ligatures w14:val="standardContextual"/>
              </w:rPr>
            </w:pPr>
            <w:r w:rsidRPr="007E08F7">
              <w:rPr>
                <w:rFonts w:eastAsia="Aptos" w:cs="Calibri"/>
                <w:b/>
                <w:color w:val="FFFFFF" w:themeColor="background1"/>
                <w:kern w:val="2"/>
                <w14:ligatures w14:val="standardContextual"/>
              </w:rPr>
              <w:t>Źródło danych</w:t>
            </w:r>
          </w:p>
        </w:tc>
      </w:tr>
      <w:tr w:rsidR="00B765A5" w:rsidRPr="007E08F7" w14:paraId="2568483A" w14:textId="77777777" w:rsidTr="00197513">
        <w:trPr>
          <w:trHeight w:val="350"/>
        </w:trPr>
        <w:tc>
          <w:tcPr>
            <w:tcW w:w="2500" w:type="pct"/>
            <w:vAlign w:val="center"/>
          </w:tcPr>
          <w:p w14:paraId="5460D48E" w14:textId="77777777" w:rsidR="00B765A5" w:rsidRPr="007E08F7" w:rsidRDefault="00B765A5" w:rsidP="00197513">
            <w:pPr>
              <w:spacing w:after="120" w:line="276" w:lineRule="auto"/>
              <w:rPr>
                <w:rFonts w:eastAsia="Aptos" w:cs="Calibri"/>
                <w:bCs/>
                <w:color w:val="A6A6A6"/>
                <w:kern w:val="2"/>
                <w14:ligatures w14:val="standardContextual"/>
              </w:rPr>
            </w:pPr>
            <w:r w:rsidRPr="007E08F7">
              <w:rPr>
                <w:rFonts w:eastAsia="Aptos" w:cs="Calibri"/>
                <w:bCs/>
                <w:kern w:val="2"/>
                <w14:ligatures w14:val="standardContextual"/>
              </w:rPr>
              <w:t>Odsetek mieszkańców miast korzystających ze środowiskowej pomocy społecznej</w:t>
            </w:r>
          </w:p>
        </w:tc>
        <w:tc>
          <w:tcPr>
            <w:tcW w:w="688" w:type="pct"/>
            <w:vAlign w:val="center"/>
          </w:tcPr>
          <w:p w14:paraId="21C72ECB"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2,2% </w:t>
            </w:r>
            <w:r w:rsidRPr="007E08F7">
              <w:rPr>
                <w:rFonts w:eastAsia="Aptos" w:cs="Calibri"/>
                <w:kern w:val="2"/>
                <w14:ligatures w14:val="standardContextual"/>
              </w:rPr>
              <w:br/>
              <w:t>(2024)</w:t>
            </w:r>
          </w:p>
        </w:tc>
        <w:tc>
          <w:tcPr>
            <w:tcW w:w="955" w:type="pct"/>
            <w:vAlign w:val="center"/>
          </w:tcPr>
          <w:p w14:paraId="715AE81A"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57" w:type="pct"/>
            <w:vAlign w:val="center"/>
          </w:tcPr>
          <w:p w14:paraId="47871CCA" w14:textId="2ABC3FC6"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w:t>
            </w:r>
            <w:r w:rsidR="00197513" w:rsidRPr="007E08F7">
              <w:rPr>
                <w:rFonts w:eastAsia="Aptos" w:cs="Calibri"/>
                <w:kern w:val="2"/>
                <w14:ligatures w14:val="standardContextual"/>
              </w:rPr>
              <w:t> </w:t>
            </w:r>
            <w:r w:rsidRPr="007E08F7">
              <w:rPr>
                <w:rFonts w:eastAsia="Aptos" w:cs="Calibri"/>
                <w:kern w:val="2"/>
                <w14:ligatures w14:val="standardContextual"/>
              </w:rPr>
              <w:t>podstawie danych GUS</w:t>
            </w:r>
          </w:p>
        </w:tc>
      </w:tr>
      <w:tr w:rsidR="00B765A5" w:rsidRPr="007E08F7" w14:paraId="5FEB0084" w14:textId="77777777" w:rsidTr="00197513">
        <w:trPr>
          <w:trHeight w:val="271"/>
        </w:trPr>
        <w:tc>
          <w:tcPr>
            <w:tcW w:w="2500" w:type="pct"/>
            <w:vAlign w:val="center"/>
          </w:tcPr>
          <w:p w14:paraId="2CA7A08E" w14:textId="219B79CE"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Wielkość budżetu sołeckiego na</w:t>
            </w:r>
            <w:r w:rsidR="00197513" w:rsidRPr="007E08F7">
              <w:rPr>
                <w:rFonts w:eastAsia="Aptos" w:cs="Calibri"/>
                <w:kern w:val="2"/>
                <w14:ligatures w14:val="standardContextual"/>
              </w:rPr>
              <w:t> </w:t>
            </w:r>
            <w:r w:rsidRPr="007E08F7">
              <w:rPr>
                <w:rFonts w:eastAsia="Aptos" w:cs="Calibri"/>
                <w:kern w:val="2"/>
                <w14:ligatures w14:val="standardContextual"/>
              </w:rPr>
              <w:t>1 mieszkańca na obszarach wiejskich</w:t>
            </w:r>
          </w:p>
        </w:tc>
        <w:tc>
          <w:tcPr>
            <w:tcW w:w="688" w:type="pct"/>
            <w:vAlign w:val="center"/>
          </w:tcPr>
          <w:p w14:paraId="35C72601"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50 zł </w:t>
            </w:r>
            <w:r w:rsidRPr="007E08F7">
              <w:rPr>
                <w:rFonts w:eastAsia="Aptos" w:cs="Calibri"/>
                <w:kern w:val="2"/>
                <w14:ligatures w14:val="standardContextual"/>
              </w:rPr>
              <w:br/>
              <w:t>(2024)</w:t>
            </w:r>
          </w:p>
        </w:tc>
        <w:tc>
          <w:tcPr>
            <w:tcW w:w="955" w:type="pct"/>
            <w:vAlign w:val="center"/>
          </w:tcPr>
          <w:p w14:paraId="3409B39B"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57" w:type="pct"/>
            <w:vAlign w:val="center"/>
          </w:tcPr>
          <w:p w14:paraId="733C0078" w14:textId="504F7A65"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Obliczenia własne na</w:t>
            </w:r>
            <w:r w:rsidR="00197513" w:rsidRPr="007E08F7">
              <w:rPr>
                <w:rFonts w:eastAsia="Aptos" w:cs="Calibri"/>
                <w:kern w:val="2"/>
                <w14:ligatures w14:val="standardContextual"/>
              </w:rPr>
              <w:t> </w:t>
            </w:r>
            <w:r w:rsidRPr="007E08F7">
              <w:rPr>
                <w:rFonts w:eastAsia="Aptos" w:cs="Calibri"/>
                <w:kern w:val="2"/>
                <w14:ligatures w14:val="standardContextual"/>
              </w:rPr>
              <w:t>podstawie danych GUS</w:t>
            </w:r>
          </w:p>
        </w:tc>
      </w:tr>
      <w:tr w:rsidR="00B765A5" w:rsidRPr="007E08F7" w14:paraId="09E506B6" w14:textId="77777777" w:rsidTr="00197513">
        <w:trPr>
          <w:trHeight w:val="271"/>
        </w:trPr>
        <w:tc>
          <w:tcPr>
            <w:tcW w:w="2500" w:type="pct"/>
            <w:vAlign w:val="center"/>
          </w:tcPr>
          <w:p w14:paraId="557FAAC8"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Udział powierzchni objętej obowiązującymi miejscowymi planami zagospodarowania przestrzennego w powierzchni ogółem</w:t>
            </w:r>
          </w:p>
        </w:tc>
        <w:tc>
          <w:tcPr>
            <w:tcW w:w="688" w:type="pct"/>
            <w:vAlign w:val="center"/>
          </w:tcPr>
          <w:p w14:paraId="1DC7AAE7"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 xml:space="preserve">22% </w:t>
            </w:r>
            <w:r w:rsidRPr="007E08F7">
              <w:rPr>
                <w:rFonts w:eastAsia="Aptos" w:cs="Calibri"/>
                <w:kern w:val="2"/>
                <w14:ligatures w14:val="standardContextual"/>
              </w:rPr>
              <w:br/>
              <w:t>(2024)</w:t>
            </w:r>
          </w:p>
        </w:tc>
        <w:tc>
          <w:tcPr>
            <w:tcW w:w="955" w:type="pct"/>
            <w:vAlign w:val="center"/>
          </w:tcPr>
          <w:p w14:paraId="0FF41725"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do uzupełnienia</w:t>
            </w:r>
          </w:p>
        </w:tc>
        <w:tc>
          <w:tcPr>
            <w:tcW w:w="857" w:type="pct"/>
            <w:vAlign w:val="center"/>
          </w:tcPr>
          <w:p w14:paraId="222894E6" w14:textId="77777777" w:rsidR="00B765A5" w:rsidRPr="007E08F7" w:rsidRDefault="00B765A5" w:rsidP="00197513">
            <w:pPr>
              <w:spacing w:after="120" w:line="276" w:lineRule="auto"/>
              <w:rPr>
                <w:rFonts w:eastAsia="Aptos" w:cs="Calibri"/>
                <w:kern w:val="2"/>
                <w14:ligatures w14:val="standardContextual"/>
              </w:rPr>
            </w:pPr>
            <w:r w:rsidRPr="007E08F7">
              <w:rPr>
                <w:rFonts w:eastAsia="Aptos" w:cs="Calibri"/>
                <w:kern w:val="2"/>
                <w14:ligatures w14:val="standardContextual"/>
              </w:rPr>
              <w:t>GUS</w:t>
            </w:r>
          </w:p>
        </w:tc>
      </w:tr>
    </w:tbl>
    <w:p w14:paraId="0DE9D86D" w14:textId="781B7738" w:rsidR="007D4D62" w:rsidRPr="007E08F7" w:rsidRDefault="007D4D62" w:rsidP="00197513">
      <w:pPr>
        <w:pStyle w:val="Nagwek4"/>
        <w:spacing w:before="360"/>
        <w:rPr>
          <w:iCs w:val="0"/>
        </w:rPr>
      </w:pPr>
      <w:r w:rsidRPr="007E08F7">
        <w:rPr>
          <w:iCs w:val="0"/>
        </w:rPr>
        <w:t>Postulaty wobec władz centralnych</w:t>
      </w:r>
      <w:r w:rsidR="0024620F" w:rsidRPr="007E08F7">
        <w:rPr>
          <w:iCs w:val="0"/>
        </w:rPr>
        <w:t xml:space="preserve"> CO 3.4 </w:t>
      </w:r>
    </w:p>
    <w:p w14:paraId="357EF72C" w14:textId="2F33C6EB" w:rsidR="007B03F6" w:rsidRPr="007E08F7" w:rsidRDefault="007D4D62">
      <w:pPr>
        <w:numPr>
          <w:ilvl w:val="0"/>
          <w:numId w:val="57"/>
        </w:numPr>
        <w:spacing w:before="120" w:after="120" w:line="288" w:lineRule="auto"/>
        <w:rPr>
          <w:rFonts w:eastAsia="Aptos" w:cs="Times New Roman"/>
        </w:rPr>
      </w:pPr>
      <w:r w:rsidRPr="007E08F7">
        <w:rPr>
          <w:rFonts w:eastAsia="Aptos" w:cs="Times New Roman"/>
        </w:rPr>
        <w:t>Utworzenie programu służącego ochronie dziedzictwa Żuław, ze szczególnym uwzględnieniem architektury drewnianej i historycznego krajobrazu kulturowego</w:t>
      </w:r>
      <w:r w:rsidR="00ED14F1" w:rsidRPr="007E08F7">
        <w:rPr>
          <w:rFonts w:cstheme="minorHAnsi"/>
        </w:rPr>
        <w:t>.</w:t>
      </w:r>
    </w:p>
    <w:p w14:paraId="04F85F99" w14:textId="2493F448" w:rsidR="008D1DE9" w:rsidRPr="007E08F7" w:rsidRDefault="007B03F6" w:rsidP="007B03F6">
      <w:pPr>
        <w:rPr>
          <w:rFonts w:cstheme="minorHAnsi"/>
        </w:rPr>
      </w:pPr>
      <w:r w:rsidRPr="007E08F7">
        <w:rPr>
          <w:rFonts w:cstheme="minorHAnsi"/>
        </w:rPr>
        <w:br w:type="page"/>
      </w:r>
    </w:p>
    <w:p w14:paraId="1295ABAC" w14:textId="6FC88EE8" w:rsidR="006D4389" w:rsidRPr="007E08F7" w:rsidRDefault="001C2C37" w:rsidP="002774ED">
      <w:pPr>
        <w:pStyle w:val="Nagwek2"/>
      </w:pPr>
      <w:bookmarkStart w:id="68" w:name="_Toc239772095"/>
      <w:r w:rsidRPr="007E08F7">
        <w:lastRenderedPageBreak/>
        <w:t xml:space="preserve">Cel strategiczny 4. </w:t>
      </w:r>
      <w:r w:rsidR="0086073D" w:rsidRPr="007E08F7">
        <w:t>Pomorze stabilne demograficznie</w:t>
      </w:r>
      <w:bookmarkEnd w:id="68"/>
    </w:p>
    <w:p w14:paraId="6B4FB1F8" w14:textId="48E3BCEF" w:rsidR="001C2C37" w:rsidRPr="007E08F7" w:rsidRDefault="001C2C37" w:rsidP="001C2C37">
      <w:pPr>
        <w:spacing w:before="120" w:after="120" w:line="288" w:lineRule="auto"/>
        <w:rPr>
          <w:rFonts w:eastAsia="Aptos"/>
          <w:b/>
          <w:bCs/>
          <w:sz w:val="28"/>
          <w:szCs w:val="28"/>
        </w:rPr>
      </w:pPr>
      <w:r w:rsidRPr="007E08F7">
        <w:rPr>
          <w:rFonts w:eastAsia="Aptos" w:cs="Times New Roman"/>
          <w:b/>
          <w:bCs/>
          <w:kern w:val="0"/>
          <w:sz w:val="28"/>
          <w:szCs w:val="28"/>
          <w14:ligatures w14:val="none"/>
        </w:rPr>
        <w:t>Przesłanki realizacji Celu strategicznego</w:t>
      </w:r>
      <w:r w:rsidR="0024620F" w:rsidRPr="007E08F7">
        <w:rPr>
          <w:rFonts w:eastAsia="Aptos" w:cs="Times New Roman"/>
          <w:b/>
          <w:bCs/>
          <w:kern w:val="0"/>
          <w:sz w:val="28"/>
          <w:szCs w:val="28"/>
          <w14:ligatures w14:val="none"/>
        </w:rPr>
        <w:t xml:space="preserve"> 4.</w:t>
      </w:r>
    </w:p>
    <w:p w14:paraId="08B4CAE3" w14:textId="624B4176" w:rsidR="00B1770D" w:rsidRPr="007E08F7" w:rsidRDefault="00B1770D" w:rsidP="00B1770D">
      <w:pPr>
        <w:spacing w:before="120" w:after="120" w:line="288" w:lineRule="auto"/>
        <w:rPr>
          <w:rFonts w:eastAsia="Aptos"/>
        </w:rPr>
      </w:pPr>
      <w:r w:rsidRPr="007E08F7">
        <w:rPr>
          <w:rFonts w:eastAsia="Aptos"/>
        </w:rPr>
        <w:t>Pomorze jest regionem o najkorzystniejszej strukturze demograficznej w kraju, jednak proces starzenia się społeczeństwa, utrzymująca się niska dzietność oraz malejąca liczba osób w wieku produkcyjnym stopniowo osłabiają tę przewagę. Dla rozwoju regionu coraz większe znaczenie mają migracje, dostępność usług publicznych oraz warunki życia wpływające na decyzje dotyczące osiedlania się bądź pozostania w</w:t>
      </w:r>
      <w:r w:rsidR="002455C8" w:rsidRPr="007E08F7">
        <w:rPr>
          <w:rFonts w:eastAsia="Aptos"/>
        </w:rPr>
        <w:t> </w:t>
      </w:r>
      <w:r w:rsidRPr="007E08F7">
        <w:rPr>
          <w:rFonts w:eastAsia="Aptos"/>
        </w:rPr>
        <w:t xml:space="preserve">regionie. </w:t>
      </w:r>
    </w:p>
    <w:p w14:paraId="1AD82961" w14:textId="396B37F3" w:rsidR="00B1770D" w:rsidRPr="007E08F7" w:rsidRDefault="00B1770D" w:rsidP="00B1770D">
      <w:pPr>
        <w:spacing w:before="120" w:after="120" w:line="288" w:lineRule="auto"/>
        <w:rPr>
          <w:rFonts w:eastAsia="Aptos"/>
        </w:rPr>
      </w:pPr>
      <w:r w:rsidRPr="007E08F7">
        <w:rPr>
          <w:rFonts w:eastAsia="Aptos"/>
        </w:rPr>
        <w:t>Budowa warunków dla osiągnięcia stabilnej bazy demograficznej wymaga prowadzenia zintegrowanej polityki odpowiadającej przede wszystkim na skutki zmian demograficznych, ale także próby odpowiedzi na ich przyczyny. Obejmuje ona zapewnienie mieszkańcom dostępu do spersonalizowanych usług społecznych i</w:t>
      </w:r>
      <w:r w:rsidR="002455C8" w:rsidRPr="007E08F7">
        <w:rPr>
          <w:rFonts w:eastAsia="Aptos"/>
        </w:rPr>
        <w:t> </w:t>
      </w:r>
      <w:r w:rsidRPr="007E08F7">
        <w:rPr>
          <w:rFonts w:eastAsia="Aptos"/>
        </w:rPr>
        <w:t>zdrowotnych świadczonych możliwie blisko miejsca zamieszkania oraz wsparcie dobrostanu mieszkańców na różnych etapach życia.</w:t>
      </w:r>
    </w:p>
    <w:p w14:paraId="71B82994" w14:textId="1381A06F" w:rsidR="00B1770D" w:rsidRPr="007E08F7" w:rsidRDefault="00B1770D" w:rsidP="00B1770D">
      <w:pPr>
        <w:spacing w:before="120" w:after="120" w:line="288" w:lineRule="auto"/>
        <w:rPr>
          <w:rFonts w:eastAsia="Aptos"/>
        </w:rPr>
      </w:pPr>
      <w:r w:rsidRPr="007E08F7">
        <w:rPr>
          <w:rFonts w:eastAsia="Aptos"/>
        </w:rPr>
        <w:t>Kluczowe jest także wzmacnianie atrakcyjności osiedleńczej Pomorza poprzez zwiększanie dostępności mieszkań oraz upowszechnienie opieki nad najmłodszymi dziećmi. Równocześnie konieczne jest zwiększenie zdolności regionu do przyciągania i</w:t>
      </w:r>
      <w:r w:rsidR="002455C8" w:rsidRPr="007E08F7">
        <w:rPr>
          <w:rFonts w:eastAsia="Aptos"/>
        </w:rPr>
        <w:t> </w:t>
      </w:r>
      <w:r w:rsidRPr="007E08F7">
        <w:rPr>
          <w:rFonts w:eastAsia="Aptos"/>
        </w:rPr>
        <w:t>integracji osób z doświadczeniem migracji.</w:t>
      </w:r>
    </w:p>
    <w:p w14:paraId="41200D93" w14:textId="33DC4532" w:rsidR="00B1770D" w:rsidRPr="007E08F7" w:rsidRDefault="00B1770D" w:rsidP="00B1770D">
      <w:pPr>
        <w:spacing w:before="120" w:after="120" w:line="288" w:lineRule="auto"/>
        <w:rPr>
          <w:rFonts w:eastAsia="Aptos"/>
        </w:rPr>
      </w:pPr>
      <w:r w:rsidRPr="007E08F7">
        <w:rPr>
          <w:rFonts w:eastAsia="Aptos"/>
        </w:rPr>
        <w:t>Realizacja celu skutkować będzie wzmocnieniem roli Pomorza jako miejsca, w którym ludzie chcą mieszkać, pracować, rozwijać się i z którym zwiążą swoją przyszłość. To</w:t>
      </w:r>
      <w:r w:rsidR="002455C8" w:rsidRPr="007E08F7">
        <w:rPr>
          <w:rFonts w:eastAsia="Aptos"/>
        </w:rPr>
        <w:t> </w:t>
      </w:r>
      <w:r w:rsidRPr="007E08F7">
        <w:rPr>
          <w:rFonts w:eastAsia="Aptos"/>
        </w:rPr>
        <w:t xml:space="preserve">region otwarty na nowych mieszkańców, wykorzystujący potencjał wszystkich grup społecznych, zapewniający dostęp do usług społecznych i zdrowotnych oraz tworzący przestrzeń, w której każdy, niezależnie od wieku, pochodzenia, sytuacji materialnej czy indywidualnych potrzeb, może w pełni uczestniczyć w życiu społecznym i gospodarczym. </w:t>
      </w:r>
    </w:p>
    <w:p w14:paraId="05B58F28" w14:textId="54D090C9" w:rsidR="00B1770D" w:rsidRPr="007E08F7" w:rsidRDefault="00B1770D" w:rsidP="00B1770D">
      <w:pPr>
        <w:spacing w:before="120" w:after="120" w:line="288" w:lineRule="auto"/>
        <w:rPr>
          <w:rFonts w:eastAsia="Aptos"/>
          <w:b/>
          <w:bCs/>
          <w:sz w:val="28"/>
          <w:szCs w:val="28"/>
        </w:rPr>
      </w:pPr>
      <w:r w:rsidRPr="007E08F7">
        <w:rPr>
          <w:rFonts w:eastAsia="Aptos" w:cs="Times New Roman"/>
          <w:b/>
          <w:bCs/>
          <w:kern w:val="0"/>
          <w:sz w:val="28"/>
          <w:szCs w:val="28"/>
          <w14:ligatures w14:val="none"/>
        </w:rPr>
        <w:t>Pożądany kierunek zmian</w:t>
      </w:r>
      <w:r w:rsidR="0024620F" w:rsidRPr="007E08F7">
        <w:rPr>
          <w:rFonts w:eastAsia="Aptos" w:cs="Times New Roman"/>
          <w:b/>
          <w:bCs/>
          <w:kern w:val="0"/>
          <w:sz w:val="28"/>
          <w:szCs w:val="28"/>
          <w14:ligatures w14:val="none"/>
        </w:rPr>
        <w:t xml:space="preserve"> CS 4.</w:t>
      </w:r>
    </w:p>
    <w:p w14:paraId="2141A156" w14:textId="48A919EE" w:rsidR="00B1770D" w:rsidRPr="007E08F7" w:rsidRDefault="00B1770D">
      <w:pPr>
        <w:numPr>
          <w:ilvl w:val="0"/>
          <w:numId w:val="22"/>
        </w:numPr>
        <w:spacing w:before="120" w:after="120" w:line="288" w:lineRule="auto"/>
        <w:ind w:left="426" w:hanging="426"/>
        <w:rPr>
          <w:rFonts w:eastAsia="Aptos"/>
        </w:rPr>
      </w:pPr>
      <w:r w:rsidRPr="007E08F7">
        <w:rPr>
          <w:rFonts w:eastAsia="Aptos"/>
        </w:rPr>
        <w:t>Wzrost dostępności spersonalizowanych, zintegrowanych usług społecznych i</w:t>
      </w:r>
      <w:r w:rsidR="002455C8" w:rsidRPr="007E08F7">
        <w:rPr>
          <w:rFonts w:eastAsia="Aptos"/>
        </w:rPr>
        <w:t> </w:t>
      </w:r>
      <w:r w:rsidRPr="007E08F7">
        <w:rPr>
          <w:rFonts w:eastAsia="Aptos"/>
        </w:rPr>
        <w:t>zdrowotnych blisko miejsca zamieszkania.</w:t>
      </w:r>
    </w:p>
    <w:p w14:paraId="6DD735BC" w14:textId="77777777" w:rsidR="00B1770D" w:rsidRPr="007E08F7" w:rsidRDefault="00B1770D">
      <w:pPr>
        <w:numPr>
          <w:ilvl w:val="0"/>
          <w:numId w:val="22"/>
        </w:numPr>
        <w:spacing w:before="120" w:after="120" w:line="288" w:lineRule="auto"/>
        <w:ind w:left="426" w:hanging="426"/>
        <w:rPr>
          <w:rFonts w:eastAsia="Aptos"/>
        </w:rPr>
      </w:pPr>
      <w:r w:rsidRPr="007E08F7">
        <w:rPr>
          <w:rFonts w:eastAsia="Aptos"/>
        </w:rPr>
        <w:t>Rozwój modelu opieki zdrowotnej opartego na profilaktyce, wczesnej diagnostyce, rehabilitacji i usługach środowiskowych.</w:t>
      </w:r>
    </w:p>
    <w:p w14:paraId="208775EF" w14:textId="77777777" w:rsidR="00B1770D" w:rsidRPr="007E08F7" w:rsidRDefault="00B1770D">
      <w:pPr>
        <w:numPr>
          <w:ilvl w:val="0"/>
          <w:numId w:val="22"/>
        </w:numPr>
        <w:spacing w:before="120" w:after="120" w:line="288" w:lineRule="auto"/>
        <w:ind w:left="426" w:hanging="426"/>
        <w:rPr>
          <w:rFonts w:eastAsia="Aptos"/>
        </w:rPr>
      </w:pPr>
      <w:r w:rsidRPr="007E08F7">
        <w:rPr>
          <w:rFonts w:eastAsia="Aptos"/>
        </w:rPr>
        <w:t>Zwiększenie zdolności regionu do przyciągania, integracji i utrzymania nowych mieszkańców.</w:t>
      </w:r>
    </w:p>
    <w:p w14:paraId="1629C14E" w14:textId="1E4A395D" w:rsidR="003B2111" w:rsidRPr="007E08F7" w:rsidRDefault="00B1770D">
      <w:pPr>
        <w:numPr>
          <w:ilvl w:val="0"/>
          <w:numId w:val="22"/>
        </w:numPr>
        <w:spacing w:before="120" w:after="120" w:line="288" w:lineRule="auto"/>
        <w:ind w:left="426" w:hanging="426"/>
        <w:rPr>
          <w:rFonts w:eastAsia="Aptos"/>
        </w:rPr>
      </w:pPr>
      <w:r w:rsidRPr="007E08F7">
        <w:rPr>
          <w:rFonts w:eastAsia="Aptos"/>
        </w:rPr>
        <w:t>Poprawa dostępności mieszkań w obszarach kluczowych dla aktywnego zarządzania zmianą demograficzną</w:t>
      </w:r>
      <w:r w:rsidR="001B3B0E" w:rsidRPr="007E08F7">
        <w:rPr>
          <w:rFonts w:eastAsia="Aptos"/>
        </w:rPr>
        <w:t>.</w:t>
      </w:r>
      <w:r w:rsidR="003B2111" w:rsidRPr="007E08F7">
        <w:rPr>
          <w:rFonts w:eastAsia="Aptos"/>
        </w:rPr>
        <w:br w:type="page"/>
      </w:r>
    </w:p>
    <w:p w14:paraId="1AC7FA27" w14:textId="77777777" w:rsidR="001B3B0E" w:rsidRPr="007E08F7" w:rsidRDefault="001B3B0E" w:rsidP="002F715A">
      <w:pPr>
        <w:pStyle w:val="Nagwek3"/>
      </w:pPr>
      <w:bookmarkStart w:id="69" w:name="_Toc239772096"/>
      <w:r w:rsidRPr="007E08F7">
        <w:rPr>
          <w:rFonts w:eastAsia="Aptos" w:cs="Aptos"/>
        </w:rPr>
        <w:lastRenderedPageBreak/>
        <w:t>Cel operacyjny 4.1</w:t>
      </w:r>
      <w:r w:rsidRPr="007E08F7">
        <w:t>. Zdrowie i wsparcie blisko mieszkańca</w:t>
      </w:r>
      <w:bookmarkEnd w:id="69"/>
    </w:p>
    <w:p w14:paraId="04D474BA" w14:textId="1857C0A3" w:rsidR="001B3B0E" w:rsidRPr="007E08F7" w:rsidRDefault="001B3B0E" w:rsidP="0086073D">
      <w:pPr>
        <w:pStyle w:val="Nagwek4"/>
        <w:rPr>
          <w:rFonts w:eastAsia="Aptos"/>
          <w:iCs w:val="0"/>
        </w:rPr>
      </w:pPr>
      <w:r w:rsidRPr="007E08F7">
        <w:rPr>
          <w:rFonts w:eastAsia="Aptos"/>
          <w:iCs w:val="0"/>
        </w:rPr>
        <w:t>Przesłanki realizacji Celu operacyjnego</w:t>
      </w:r>
      <w:r w:rsidR="0024620F" w:rsidRPr="007E08F7">
        <w:rPr>
          <w:rFonts w:eastAsia="Aptos"/>
          <w:iCs w:val="0"/>
        </w:rPr>
        <w:t xml:space="preserve"> 4.1</w:t>
      </w:r>
    </w:p>
    <w:p w14:paraId="59E6E127" w14:textId="3CE5957D" w:rsidR="0085124A" w:rsidRPr="007E08F7" w:rsidRDefault="0085124A" w:rsidP="0085124A">
      <w:pPr>
        <w:spacing w:before="120" w:after="120" w:line="288" w:lineRule="auto"/>
        <w:rPr>
          <w:rFonts w:eastAsia="Aptos"/>
        </w:rPr>
      </w:pPr>
      <w:r w:rsidRPr="007E08F7">
        <w:rPr>
          <w:rFonts w:eastAsia="Aptos"/>
        </w:rPr>
        <w:t>Zmiany demograficzne, w tym starzenie się społeczeństwa, wydłużanie trwania życia oraz rosnąca liczba osób wymagających długotrwałego wsparcia, stanowią jedno z</w:t>
      </w:r>
      <w:r w:rsidR="002455C8" w:rsidRPr="007E08F7">
        <w:rPr>
          <w:rFonts w:eastAsia="Aptos"/>
        </w:rPr>
        <w:t> </w:t>
      </w:r>
      <w:r w:rsidRPr="007E08F7">
        <w:rPr>
          <w:rFonts w:eastAsia="Aptos"/>
        </w:rPr>
        <w:t>najważniejszych wyzwań dla regionalnego systemu usług społecznych i zdrowotnych. Jednocześnie</w:t>
      </w:r>
      <w:r w:rsidR="00226C60" w:rsidRPr="007E08F7">
        <w:rPr>
          <w:rFonts w:eastAsia="Aptos"/>
        </w:rPr>
        <w:t>,</w:t>
      </w:r>
      <w:r w:rsidRPr="007E08F7">
        <w:rPr>
          <w:rFonts w:eastAsia="Aptos"/>
        </w:rPr>
        <w:t xml:space="preserve"> zmieniają się potrzeby mieszkańców w zakresie opieki, zdrowia i wsparcia w codziennym funkcjonowaniu. Wymaga to rozwoju systemu, który zapewnia dostęp do odpowiednich usług możliwie blisko miejsca zamieszkania, odpowiada na zróżnicowane potrzeby mieszkańców i pozwala jak najdłużej zachować samodzielność oraz dobrą jakość życia.</w:t>
      </w:r>
    </w:p>
    <w:p w14:paraId="09588856" w14:textId="1CA92CB0" w:rsidR="0085124A" w:rsidRPr="007E08F7" w:rsidRDefault="0085124A" w:rsidP="0024620F">
      <w:pPr>
        <w:spacing w:before="120" w:after="120" w:line="288" w:lineRule="auto"/>
        <w:ind w:right="-284"/>
        <w:rPr>
          <w:rFonts w:eastAsia="Aptos"/>
        </w:rPr>
      </w:pPr>
      <w:r w:rsidRPr="007E08F7">
        <w:rPr>
          <w:rFonts w:eastAsia="Aptos"/>
        </w:rPr>
        <w:t>Szczególnego znaczenia nabiera zapewnienie odpowiedniego wsparcia osobom starszym, osobom z niepełnosprawnościami oraz osobom o ograniczonej samodzielności. Rosnąca skala potrzeb związanych z długotrwałym wsparciem wymaga rozwijania środowiskowych usług zdrowotnych i społecznych. Istotne jest również lepsze powiązanie tych usług oraz zapewnienie ich ciągłości, tak aby mieszkaniec, jego bliscy i</w:t>
      </w:r>
      <w:r w:rsidR="002455C8" w:rsidRPr="007E08F7">
        <w:rPr>
          <w:rFonts w:eastAsia="Aptos"/>
        </w:rPr>
        <w:t> </w:t>
      </w:r>
      <w:r w:rsidRPr="007E08F7">
        <w:rPr>
          <w:rFonts w:eastAsia="Aptos"/>
        </w:rPr>
        <w:t>opiekunowie mogli łatwiej uzyskać adekwatną pomoc bez konieczności poruszania się pomiędzy odrębnymi systemami. Równolegle, konieczne jest wzmacnianie środowiskowego systemu usług społecznych, odpowiadającego na różnorodne sytuacje życiowe i potrzeby mieszkańców. Ważne jest przy tym podejście oparte na profilaktyce, pracy z osobą i jej otoczeniem oraz rozwiązania pozwalające ograniczać ryzyko wykluczenia społecznego.</w:t>
      </w:r>
    </w:p>
    <w:p w14:paraId="247305B0" w14:textId="79DD12C1" w:rsidR="0085124A" w:rsidRPr="007E08F7" w:rsidRDefault="0085124A" w:rsidP="0085124A">
      <w:pPr>
        <w:spacing w:before="120" w:after="120" w:line="288" w:lineRule="auto"/>
        <w:rPr>
          <w:rFonts w:eastAsia="Aptos"/>
        </w:rPr>
      </w:pPr>
      <w:r w:rsidRPr="007E08F7">
        <w:rPr>
          <w:rFonts w:eastAsia="Aptos"/>
        </w:rPr>
        <w:t>Kolejnym istotnym obszarem jest wsparcie dzieci i młodzieży oraz tworzenie warunków sprzyjających zdrowemu rozwojowi młodego pokolenia. Wymaga to wzmacniania kompleksowej opieki nad kobietą w okresie ciąży, porodu i połogu, wsparcia we</w:t>
      </w:r>
      <w:r w:rsidR="00197513" w:rsidRPr="007E08F7">
        <w:rPr>
          <w:rFonts w:eastAsia="Aptos"/>
        </w:rPr>
        <w:t> </w:t>
      </w:r>
      <w:r w:rsidRPr="007E08F7">
        <w:rPr>
          <w:rFonts w:eastAsia="Aptos"/>
        </w:rPr>
        <w:t>wczesnym okresie życia dziecka oraz dostępności profilaktyki, wczesnej diagnostyki i</w:t>
      </w:r>
      <w:r w:rsidR="002455C8" w:rsidRPr="007E08F7">
        <w:rPr>
          <w:rFonts w:eastAsia="Aptos"/>
        </w:rPr>
        <w:t> </w:t>
      </w:r>
      <w:r w:rsidRPr="007E08F7">
        <w:rPr>
          <w:rFonts w:eastAsia="Aptos"/>
        </w:rPr>
        <w:t xml:space="preserve">opieki zdrowotnej nad dziećmi i młodzieżą. </w:t>
      </w:r>
    </w:p>
    <w:p w14:paraId="6BADFE7C" w14:textId="03980601" w:rsidR="0085124A" w:rsidRPr="007E08F7" w:rsidRDefault="0085124A" w:rsidP="0085124A">
      <w:pPr>
        <w:spacing w:before="120" w:after="120" w:line="288" w:lineRule="auto"/>
        <w:rPr>
          <w:rFonts w:eastAsia="Aptos"/>
        </w:rPr>
      </w:pPr>
      <w:r w:rsidRPr="007E08F7">
        <w:rPr>
          <w:rFonts w:eastAsia="Aptos"/>
        </w:rPr>
        <w:t>Rosnące znaczenie chorób przewlekłych i cywilizacyjnych wskazują na konieczność przechodzenia od modelu skoncentrowanego przede wszystkim na reagowaniu na</w:t>
      </w:r>
      <w:r w:rsidR="00197513" w:rsidRPr="007E08F7">
        <w:rPr>
          <w:rFonts w:eastAsia="Aptos"/>
        </w:rPr>
        <w:t> </w:t>
      </w:r>
      <w:r w:rsidRPr="007E08F7">
        <w:rPr>
          <w:rFonts w:eastAsia="Aptos"/>
        </w:rPr>
        <w:t>skutki chorób do modelu, który w większym stopniu zapobiega ich występowaniu, pozwala wcześniej identyfikować zagrożenia zdrowotne i wspiera mieszkańców w</w:t>
      </w:r>
      <w:r w:rsidR="002455C8" w:rsidRPr="007E08F7">
        <w:rPr>
          <w:rFonts w:eastAsia="Aptos"/>
        </w:rPr>
        <w:t> </w:t>
      </w:r>
      <w:r w:rsidRPr="007E08F7">
        <w:rPr>
          <w:rFonts w:eastAsia="Aptos"/>
        </w:rPr>
        <w:t>utrzymaniu aktywności oraz samodzielności.</w:t>
      </w:r>
    </w:p>
    <w:p w14:paraId="0D08DB2D" w14:textId="77777777" w:rsidR="0085124A" w:rsidRPr="007E08F7" w:rsidRDefault="0085124A" w:rsidP="0085124A">
      <w:pPr>
        <w:spacing w:before="120" w:after="120" w:line="288" w:lineRule="auto"/>
        <w:rPr>
          <w:rFonts w:eastAsia="Aptos"/>
        </w:rPr>
      </w:pPr>
      <w:r w:rsidRPr="007E08F7">
        <w:rPr>
          <w:rFonts w:eastAsia="Aptos"/>
        </w:rPr>
        <w:t xml:space="preserve">Szczególnego znaczenia nabiera również wczesne rozpoznawanie i reagowanie na problemy ze zdrowiem psychicznym, które poza dorosłymi, coraz częściej dotyczą dzieci i młodzieży. </w:t>
      </w:r>
    </w:p>
    <w:p w14:paraId="27CD1834" w14:textId="3ABA1613" w:rsidR="0085124A" w:rsidRPr="007E08F7" w:rsidRDefault="0085124A" w:rsidP="0085124A">
      <w:pPr>
        <w:spacing w:before="120" w:after="120" w:line="288" w:lineRule="auto"/>
        <w:rPr>
          <w:rFonts w:eastAsia="Aptos" w:cs="Aptos"/>
          <w:kern w:val="0"/>
          <w:u w:val="single"/>
          <w14:ligatures w14:val="none"/>
        </w:rPr>
      </w:pPr>
      <w:r w:rsidRPr="007E08F7">
        <w:rPr>
          <w:rFonts w:eastAsia="Aptos"/>
        </w:rPr>
        <w:t>Realizacja celu wymaga zatem nie tylko rozwijania poszczególnych usług, ale także lepszej integracji i koordynacji systemu zdrowotnego i społecznego. Rozproszenie kompetencji, odrębne systemy świadczenia usług oraz trudności w orientacji w</w:t>
      </w:r>
      <w:r w:rsidR="002455C8" w:rsidRPr="007E08F7">
        <w:rPr>
          <w:rFonts w:eastAsia="Aptos"/>
        </w:rPr>
        <w:t> </w:t>
      </w:r>
      <w:r w:rsidRPr="007E08F7">
        <w:rPr>
          <w:rFonts w:eastAsia="Aptos"/>
        </w:rPr>
        <w:t xml:space="preserve">dostępnej ofercie mogą ograniczać skuteczność wsparcia. Potrzebny jest model, </w:t>
      </w:r>
      <w:r w:rsidRPr="007E08F7">
        <w:rPr>
          <w:rFonts w:eastAsia="Aptos"/>
        </w:rPr>
        <w:lastRenderedPageBreak/>
        <w:t>w</w:t>
      </w:r>
      <w:r w:rsidR="002455C8" w:rsidRPr="007E08F7">
        <w:rPr>
          <w:rFonts w:eastAsia="Aptos"/>
        </w:rPr>
        <w:t> </w:t>
      </w:r>
      <w:r w:rsidRPr="007E08F7">
        <w:rPr>
          <w:rFonts w:eastAsia="Aptos"/>
        </w:rPr>
        <w:t xml:space="preserve">którym usługi są organizowane wokół potrzeb mieszkańca, wzajemnie się uzupełniają i są dostępne możliwie blisko jego miejsca zamieszkania. </w:t>
      </w:r>
    </w:p>
    <w:p w14:paraId="022647FB" w14:textId="2FDC74B8" w:rsidR="0085124A" w:rsidRPr="007E08F7" w:rsidRDefault="0085124A" w:rsidP="0086073D">
      <w:pPr>
        <w:pStyle w:val="Nagwek4"/>
        <w:rPr>
          <w:rFonts w:eastAsia="Aptos"/>
          <w:iCs w:val="0"/>
        </w:rPr>
      </w:pPr>
      <w:r w:rsidRPr="007E08F7">
        <w:rPr>
          <w:rFonts w:eastAsia="Aptos"/>
          <w:iCs w:val="0"/>
        </w:rPr>
        <w:t xml:space="preserve">Ukierunkowanie tematyczne </w:t>
      </w:r>
      <w:r w:rsidR="0024620F" w:rsidRPr="007E08F7">
        <w:rPr>
          <w:rFonts w:eastAsia="Aptos"/>
          <w:iCs w:val="0"/>
        </w:rPr>
        <w:t xml:space="preserve">CO 4.1 </w:t>
      </w:r>
      <w:r w:rsidR="0024620F" w:rsidRPr="007E08F7">
        <w:rPr>
          <w:rFonts w:eastAsia="Aptos"/>
          <w:iCs w:val="0"/>
        </w:rPr>
        <w:br/>
      </w:r>
      <w:r w:rsidRPr="007E08F7">
        <w:rPr>
          <w:rFonts w:eastAsia="Aptos"/>
          <w:iCs w:val="0"/>
        </w:rPr>
        <w:t>(kluczowe kierunki interwencji i działania)</w:t>
      </w:r>
    </w:p>
    <w:p w14:paraId="38DCDCE1" w14:textId="77777777" w:rsidR="00197513" w:rsidRPr="007E08F7" w:rsidRDefault="0085124A" w:rsidP="00197513">
      <w:pPr>
        <w:spacing w:before="120" w:after="120" w:line="288" w:lineRule="auto"/>
        <w:ind w:right="-567"/>
        <w:rPr>
          <w:rFonts w:eastAsia="Aptos"/>
          <w:kern w:val="0"/>
          <w14:ligatures w14:val="none"/>
        </w:rPr>
      </w:pPr>
      <w:r w:rsidRPr="007E08F7">
        <w:rPr>
          <w:rFonts w:eastAsia="Aptos"/>
          <w:b/>
          <w:bCs/>
          <w:kern w:val="0"/>
          <w14:ligatures w14:val="none"/>
        </w:rPr>
        <w:t>4.1.1</w:t>
      </w:r>
      <w:r w:rsidRPr="007E08F7">
        <w:rPr>
          <w:rFonts w:eastAsia="Aptos"/>
          <w:kern w:val="0"/>
          <w14:ligatures w14:val="none"/>
        </w:rPr>
        <w:t xml:space="preserve"> </w:t>
      </w:r>
      <w:r w:rsidRPr="007E08F7">
        <w:rPr>
          <w:rFonts w:eastAsia="Aptos"/>
          <w:kern w:val="0"/>
          <w14:ligatures w14:val="none"/>
        </w:rPr>
        <w:br/>
        <w:t>Rozwój dostępnych, skoordynowanych usług zdrowotnych i społecznych dla osób starszych, osób z niepełnosprawnościami, przewlekle chorych oraz osób o ograniczonej samodzielności.</w:t>
      </w:r>
    </w:p>
    <w:p w14:paraId="11A4076F" w14:textId="3CEA21D7" w:rsidR="0085124A" w:rsidRPr="007E08F7" w:rsidRDefault="0085124A" w:rsidP="00197513">
      <w:pPr>
        <w:spacing w:before="120" w:after="120" w:line="288" w:lineRule="auto"/>
        <w:ind w:right="-567"/>
        <w:rPr>
          <w:rFonts w:eastAsia="Aptos" w:cs="Aptos"/>
          <w:kern w:val="0"/>
          <w14:ligatures w14:val="none"/>
        </w:rPr>
      </w:pPr>
      <w:r w:rsidRPr="007E08F7">
        <w:rPr>
          <w:rFonts w:eastAsia="Aptos" w:cs="Aptos"/>
          <w:b/>
          <w:bCs/>
          <w:kern w:val="0"/>
          <w14:ligatures w14:val="none"/>
        </w:rPr>
        <w:t>4.1.2</w:t>
      </w:r>
      <w:r w:rsidRPr="007E08F7">
        <w:rPr>
          <w:rFonts w:eastAsia="Aptos"/>
          <w:kern w:val="0"/>
          <w14:ligatures w14:val="none"/>
        </w:rPr>
        <w:br/>
      </w:r>
      <w:r w:rsidRPr="007E08F7">
        <w:rPr>
          <w:rFonts w:eastAsia="Aptos" w:cs="Aptos"/>
          <w:kern w:val="0"/>
          <w14:ligatures w14:val="none"/>
        </w:rPr>
        <w:t>Przeciwdziałanie wykluczeniu społecznemu i zwiększanie dostępu do środowiskowych usług społecznych, w tym na rzecz wsparcia dzieci i rodzin, osób w kryzysie bezdomności, osób z</w:t>
      </w:r>
      <w:r w:rsidR="00197513" w:rsidRPr="007E08F7">
        <w:rPr>
          <w:rFonts w:eastAsia="Aptos" w:cs="Aptos"/>
          <w:kern w:val="0"/>
          <w14:ligatures w14:val="none"/>
        </w:rPr>
        <w:t> </w:t>
      </w:r>
      <w:r w:rsidRPr="007E08F7">
        <w:rPr>
          <w:rFonts w:eastAsia="Aptos" w:cs="Aptos"/>
          <w:kern w:val="0"/>
          <w14:ligatures w14:val="none"/>
        </w:rPr>
        <w:t xml:space="preserve">niepełnosprawnościami. </w:t>
      </w:r>
    </w:p>
    <w:p w14:paraId="79ED7216" w14:textId="3AA7FC9D" w:rsidR="0085124A" w:rsidRPr="007E08F7" w:rsidRDefault="0085124A" w:rsidP="00197513">
      <w:pPr>
        <w:spacing w:before="120" w:after="120" w:line="288" w:lineRule="auto"/>
        <w:ind w:right="-426"/>
        <w:rPr>
          <w:rFonts w:eastAsia="Aptos" w:cs="Aptos"/>
          <w:kern w:val="0"/>
          <w14:ligatures w14:val="none"/>
        </w:rPr>
      </w:pPr>
      <w:r w:rsidRPr="007E08F7">
        <w:rPr>
          <w:rFonts w:eastAsia="Aptos" w:cs="Aptos"/>
          <w:b/>
          <w:bCs/>
          <w:kern w:val="0"/>
          <w14:ligatures w14:val="none"/>
        </w:rPr>
        <w:t>4.1.3</w:t>
      </w:r>
      <w:r w:rsidR="00197513" w:rsidRPr="007E08F7">
        <w:rPr>
          <w:rFonts w:eastAsia="Aptos" w:cs="Aptos"/>
          <w:b/>
          <w:bCs/>
          <w:kern w:val="0"/>
          <w14:ligatures w14:val="none"/>
        </w:rPr>
        <w:br/>
      </w:r>
      <w:r w:rsidRPr="007E08F7">
        <w:rPr>
          <w:rFonts w:eastAsia="Aptos" w:cs="Aptos"/>
          <w:kern w:val="0"/>
          <w14:ligatures w14:val="none"/>
        </w:rPr>
        <w:t>Tworzenie warunków do zwiększania aktywności społecznej i obywatelskiej osób starszych.</w:t>
      </w:r>
    </w:p>
    <w:p w14:paraId="253EAF74" w14:textId="77777777" w:rsidR="0085124A" w:rsidRPr="007E08F7" w:rsidRDefault="0085124A" w:rsidP="0085124A">
      <w:pPr>
        <w:spacing w:before="120" w:after="120" w:line="288" w:lineRule="auto"/>
        <w:rPr>
          <w:rFonts w:eastAsia="Aptos" w:cs="Aptos"/>
          <w:kern w:val="0"/>
          <w14:ligatures w14:val="none"/>
        </w:rPr>
      </w:pPr>
      <w:r w:rsidRPr="007E08F7">
        <w:rPr>
          <w:rFonts w:eastAsia="Aptos" w:cs="Aptos"/>
          <w:b/>
          <w:bCs/>
          <w:kern w:val="0"/>
          <w14:ligatures w14:val="none"/>
        </w:rPr>
        <w:t>4.1.4</w:t>
      </w:r>
      <w:r w:rsidRPr="007E08F7">
        <w:rPr>
          <w:rFonts w:eastAsia="Aptos"/>
          <w:kern w:val="0"/>
          <w14:ligatures w14:val="none"/>
        </w:rPr>
        <w:br/>
      </w:r>
      <w:r w:rsidRPr="007E08F7">
        <w:rPr>
          <w:rFonts w:eastAsia="Aptos" w:cs="Aptos"/>
          <w:kern w:val="0"/>
          <w14:ligatures w14:val="none"/>
        </w:rPr>
        <w:t xml:space="preserve">Rozwój kompleksowej opieki okołoporodowej i wsparcia we wczesnym okresie życia dziecka, wzmacnianie profilaktyki, diagnostyki i opieki zdrowotnej dzieci i młodzieży. </w:t>
      </w:r>
    </w:p>
    <w:p w14:paraId="70DDB98C" w14:textId="77777777" w:rsidR="0085124A" w:rsidRPr="007E08F7" w:rsidRDefault="0085124A" w:rsidP="0085124A">
      <w:pPr>
        <w:spacing w:before="120" w:after="120" w:line="288" w:lineRule="auto"/>
        <w:rPr>
          <w:rFonts w:eastAsia="Aptos" w:cs="Aptos"/>
          <w:kern w:val="0"/>
          <w14:ligatures w14:val="none"/>
        </w:rPr>
      </w:pPr>
      <w:r w:rsidRPr="007E08F7">
        <w:rPr>
          <w:rFonts w:eastAsia="Aptos" w:cs="Aptos"/>
          <w:b/>
          <w:bCs/>
          <w:kern w:val="0"/>
          <w14:ligatures w14:val="none"/>
        </w:rPr>
        <w:t>4.1.5</w:t>
      </w:r>
      <w:r w:rsidRPr="007E08F7">
        <w:rPr>
          <w:rFonts w:eastAsia="Aptos" w:cs="Aptos"/>
          <w:b/>
          <w:bCs/>
          <w:kern w:val="0"/>
          <w14:ligatures w14:val="none"/>
        </w:rPr>
        <w:br/>
      </w:r>
      <w:r w:rsidRPr="007E08F7">
        <w:rPr>
          <w:rFonts w:eastAsia="Aptos" w:cs="Aptos"/>
          <w:kern w:val="0"/>
          <w14:ligatures w14:val="none"/>
        </w:rPr>
        <w:t>Rozwój opieki zdrowotnej w zakresie zdrowia psychicznego mieszkańców.</w:t>
      </w:r>
    </w:p>
    <w:p w14:paraId="052429D9" w14:textId="77777777" w:rsidR="0085124A" w:rsidRPr="007E08F7" w:rsidRDefault="0085124A" w:rsidP="0085124A">
      <w:pPr>
        <w:spacing w:before="120" w:after="120" w:line="288" w:lineRule="auto"/>
        <w:rPr>
          <w:rFonts w:eastAsia="Aptos" w:cs="Aptos"/>
          <w:kern w:val="0"/>
          <w14:ligatures w14:val="none"/>
        </w:rPr>
      </w:pPr>
      <w:r w:rsidRPr="007E08F7">
        <w:rPr>
          <w:rFonts w:eastAsia="Aptos" w:cs="Aptos"/>
          <w:b/>
          <w:bCs/>
          <w:kern w:val="0"/>
          <w14:ligatures w14:val="none"/>
        </w:rPr>
        <w:t>4.1.6</w:t>
      </w:r>
      <w:r w:rsidRPr="007E08F7">
        <w:rPr>
          <w:rFonts w:eastAsia="Aptos" w:cs="Aptos"/>
          <w:kern w:val="0"/>
          <w14:ligatures w14:val="none"/>
        </w:rPr>
        <w:br/>
        <w:t>Wzmacnianie roli profilaktyki, wczesnej diagnostyki oraz kompleksowej rehabilitacji.</w:t>
      </w:r>
    </w:p>
    <w:p w14:paraId="57661238" w14:textId="58F5AE20" w:rsidR="0085124A" w:rsidRPr="007E08F7" w:rsidRDefault="0085124A" w:rsidP="0086073D">
      <w:pPr>
        <w:pStyle w:val="Nagwek4"/>
        <w:rPr>
          <w:rFonts w:eastAsia="Aptos"/>
          <w:iCs w:val="0"/>
        </w:rPr>
      </w:pPr>
      <w:r w:rsidRPr="007E08F7">
        <w:rPr>
          <w:rFonts w:eastAsia="Aptos"/>
          <w:iCs w:val="0"/>
        </w:rPr>
        <w:t>Ukierunkowanie terytorialne</w:t>
      </w:r>
      <w:r w:rsidR="0024620F" w:rsidRPr="007E08F7">
        <w:rPr>
          <w:rFonts w:eastAsia="Aptos"/>
          <w:iCs w:val="0"/>
        </w:rPr>
        <w:t xml:space="preserve"> CO 4.1</w:t>
      </w:r>
    </w:p>
    <w:p w14:paraId="01D5C484" w14:textId="5F6E3990" w:rsidR="0085124A" w:rsidRPr="007E08F7" w:rsidRDefault="0085124A" w:rsidP="0085124A">
      <w:pPr>
        <w:spacing w:before="120" w:after="120" w:line="288" w:lineRule="auto"/>
        <w:rPr>
          <w:rFonts w:eastAsia="Aptos" w:cs="Aptos"/>
          <w:kern w:val="0"/>
          <w14:ligatures w14:val="none"/>
        </w:rPr>
      </w:pPr>
      <w:r w:rsidRPr="007E08F7">
        <w:rPr>
          <w:rFonts w:eastAsia="Aptos" w:cs="Aptos"/>
          <w:kern w:val="0"/>
          <w14:ligatures w14:val="none"/>
        </w:rPr>
        <w:t>Całe województwo.</w:t>
      </w:r>
      <w:r w:rsidRPr="007E08F7">
        <w:rPr>
          <w:rFonts w:eastAsia="Aptos" w:cs="Aptos"/>
          <w:kern w:val="0"/>
          <w14:ligatures w14:val="none"/>
        </w:rPr>
        <w:br/>
        <w:t>W zakresie działań</w:t>
      </w:r>
      <w:r w:rsidRPr="007E08F7">
        <w:rPr>
          <w:rFonts w:eastAsia="Aptos"/>
          <w:kern w:val="0"/>
          <w14:ligatures w14:val="none"/>
        </w:rPr>
        <w:t xml:space="preserve"> zwiększających dostęp do usług społecznych i zdrowotnych świadczonych w środowisku lokalnym</w:t>
      </w:r>
      <w:r w:rsidRPr="007E08F7">
        <w:rPr>
          <w:rFonts w:eastAsia="Aptos" w:cs="Aptos"/>
          <w:kern w:val="0"/>
          <w14:ligatures w14:val="none"/>
        </w:rPr>
        <w:t xml:space="preserve"> – koncentracja wsparcia na obszarach o</w:t>
      </w:r>
      <w:r w:rsidR="00197513" w:rsidRPr="007E08F7">
        <w:rPr>
          <w:rFonts w:eastAsia="Aptos" w:cs="Aptos"/>
          <w:kern w:val="0"/>
          <w14:ligatures w14:val="none"/>
        </w:rPr>
        <w:t> </w:t>
      </w:r>
      <w:r w:rsidRPr="007E08F7">
        <w:rPr>
          <w:rFonts w:eastAsia="Aptos" w:cs="Aptos"/>
          <w:kern w:val="0"/>
          <w14:ligatures w14:val="none"/>
        </w:rPr>
        <w:t>ograniczonej dostępności usług zdrowotnych i społecznych, w szczególności poza obszarem metropolitalnym i/lub na obszarach o niekorzystnych trendach demograficznych i wysokim udziale osób starszych.</w:t>
      </w:r>
    </w:p>
    <w:p w14:paraId="00E0AB16" w14:textId="1F3E096B" w:rsidR="0085124A" w:rsidRPr="007E08F7" w:rsidRDefault="0085124A" w:rsidP="0086073D">
      <w:pPr>
        <w:pStyle w:val="Nagwek4"/>
        <w:rPr>
          <w:rFonts w:eastAsia="Aptos"/>
          <w:iCs w:val="0"/>
        </w:rPr>
      </w:pPr>
      <w:r w:rsidRPr="007E08F7">
        <w:rPr>
          <w:rFonts w:eastAsia="Aptos"/>
          <w:iCs w:val="0"/>
        </w:rPr>
        <w:t>Oczekiwane rezultaty</w:t>
      </w:r>
      <w:r w:rsidR="0024620F" w:rsidRPr="007E08F7">
        <w:rPr>
          <w:rFonts w:eastAsia="Aptos"/>
          <w:iCs w:val="0"/>
        </w:rPr>
        <w:t xml:space="preserve"> CO 4.1</w:t>
      </w:r>
    </w:p>
    <w:p w14:paraId="46102823" w14:textId="77777777" w:rsidR="0085124A" w:rsidRPr="007E08F7" w:rsidRDefault="0085124A">
      <w:pPr>
        <w:numPr>
          <w:ilvl w:val="0"/>
          <w:numId w:val="32"/>
        </w:numPr>
        <w:spacing w:before="120" w:after="120" w:line="288" w:lineRule="auto"/>
        <w:rPr>
          <w:rFonts w:eastAsia="Aptos" w:cs="Aptos"/>
          <w:kern w:val="0"/>
          <w14:ligatures w14:val="none"/>
        </w:rPr>
      </w:pPr>
      <w:r w:rsidRPr="007E08F7">
        <w:rPr>
          <w:rFonts w:eastAsia="Aptos" w:cs="Aptos"/>
          <w:kern w:val="0"/>
          <w14:ligatures w14:val="none"/>
        </w:rPr>
        <w:t>Wydłużenie samodzielności i życia w zdrowiu mieszkańców.</w:t>
      </w:r>
    </w:p>
    <w:p w14:paraId="74E09994" w14:textId="77777777" w:rsidR="0085124A" w:rsidRPr="007E08F7" w:rsidRDefault="0085124A">
      <w:pPr>
        <w:numPr>
          <w:ilvl w:val="0"/>
          <w:numId w:val="32"/>
        </w:numPr>
        <w:spacing w:before="120" w:after="120" w:line="288" w:lineRule="auto"/>
        <w:rPr>
          <w:rFonts w:eastAsia="Aptos" w:cs="Aptos"/>
          <w:kern w:val="0"/>
          <w14:ligatures w14:val="none"/>
        </w:rPr>
      </w:pPr>
      <w:r w:rsidRPr="007E08F7">
        <w:rPr>
          <w:rFonts w:eastAsia="Aptos" w:cs="Aptos"/>
          <w:kern w:val="0"/>
          <w14:ligatures w14:val="none"/>
        </w:rPr>
        <w:t>Poprawa dostępu do środowiskowych usług i form opieki.</w:t>
      </w:r>
    </w:p>
    <w:p w14:paraId="6770ABD0" w14:textId="77777777" w:rsidR="0085124A" w:rsidRPr="007E08F7" w:rsidRDefault="0085124A">
      <w:pPr>
        <w:numPr>
          <w:ilvl w:val="0"/>
          <w:numId w:val="32"/>
        </w:numPr>
        <w:spacing w:before="120" w:after="120" w:line="288" w:lineRule="auto"/>
        <w:rPr>
          <w:rFonts w:eastAsia="Aptos" w:cs="Aptos"/>
          <w:kern w:val="0"/>
          <w14:ligatures w14:val="none"/>
        </w:rPr>
      </w:pPr>
      <w:r w:rsidRPr="007E08F7">
        <w:rPr>
          <w:rFonts w:eastAsia="Aptos" w:cs="Aptos"/>
          <w:kern w:val="0"/>
          <w14:ligatures w14:val="none"/>
        </w:rPr>
        <w:t>Rozwój skoordynowanego systemu świadczenia usług zdrowotnych i społecznych.</w:t>
      </w:r>
    </w:p>
    <w:p w14:paraId="687C3DE0" w14:textId="77777777" w:rsidR="0085124A" w:rsidRPr="007E08F7" w:rsidRDefault="0085124A">
      <w:pPr>
        <w:numPr>
          <w:ilvl w:val="0"/>
          <w:numId w:val="32"/>
        </w:numPr>
        <w:spacing w:before="120" w:after="120" w:line="288" w:lineRule="auto"/>
        <w:rPr>
          <w:rFonts w:eastAsia="Aptos" w:cs="Aptos"/>
          <w:kern w:val="0"/>
          <w14:ligatures w14:val="none"/>
        </w:rPr>
      </w:pPr>
      <w:r w:rsidRPr="007E08F7">
        <w:rPr>
          <w:rFonts w:eastAsia="Aptos" w:cs="Aptos"/>
          <w:kern w:val="0"/>
          <w14:ligatures w14:val="none"/>
        </w:rPr>
        <w:t xml:space="preserve">Poprawa dobrostanu psychicznego mieszkańców. </w:t>
      </w:r>
    </w:p>
    <w:p w14:paraId="015EA920" w14:textId="77777777" w:rsidR="0085124A" w:rsidRPr="007E08F7" w:rsidRDefault="0085124A">
      <w:pPr>
        <w:numPr>
          <w:ilvl w:val="0"/>
          <w:numId w:val="32"/>
        </w:numPr>
        <w:spacing w:before="120" w:after="120" w:line="288" w:lineRule="auto"/>
        <w:rPr>
          <w:rFonts w:eastAsia="Aptos" w:cs="Aptos"/>
          <w:kern w:val="0"/>
          <w14:ligatures w14:val="none"/>
        </w:rPr>
      </w:pPr>
      <w:r w:rsidRPr="007E08F7">
        <w:rPr>
          <w:rFonts w:eastAsia="Aptos" w:cs="Aptos"/>
          <w:kern w:val="0"/>
          <w14:ligatures w14:val="none"/>
        </w:rPr>
        <w:t xml:space="preserve">Zwiększenie świadomości zdrowotnej mieszkańców. </w:t>
      </w:r>
    </w:p>
    <w:p w14:paraId="278ACF92" w14:textId="440042AD" w:rsidR="0085124A" w:rsidRPr="007E08F7" w:rsidRDefault="0085124A" w:rsidP="0086073D">
      <w:pPr>
        <w:pStyle w:val="Nagwek4"/>
        <w:rPr>
          <w:rFonts w:eastAsia="Aptos"/>
          <w:iCs w:val="0"/>
        </w:rPr>
      </w:pPr>
      <w:r w:rsidRPr="007E08F7">
        <w:rPr>
          <w:rFonts w:eastAsia="Aptos"/>
          <w:iCs w:val="0"/>
        </w:rPr>
        <w:lastRenderedPageBreak/>
        <w:t>Wskaźniki</w:t>
      </w:r>
      <w:r w:rsidR="0024620F" w:rsidRPr="007E08F7">
        <w:rPr>
          <w:rFonts w:eastAsia="Aptos"/>
          <w:iCs w:val="0"/>
        </w:rPr>
        <w:t xml:space="preserve"> CO 4.1</w:t>
      </w:r>
    </w:p>
    <w:tbl>
      <w:tblPr>
        <w:tblStyle w:val="Tabela-Siatka14"/>
        <w:tblW w:w="5000" w:type="pct"/>
        <w:tblLook w:val="04A0" w:firstRow="1" w:lastRow="0" w:firstColumn="1" w:lastColumn="0" w:noHBand="0" w:noVBand="1"/>
      </w:tblPr>
      <w:tblGrid>
        <w:gridCol w:w="4084"/>
        <w:gridCol w:w="1581"/>
        <w:gridCol w:w="1844"/>
        <w:gridCol w:w="1553"/>
      </w:tblGrid>
      <w:tr w:rsidR="00E20289" w:rsidRPr="007E08F7" w14:paraId="2BF11CB8" w14:textId="77777777" w:rsidTr="00ED576F">
        <w:trPr>
          <w:cantSplit/>
          <w:tblHeader/>
        </w:trPr>
        <w:tc>
          <w:tcPr>
            <w:tcW w:w="2253" w:type="pct"/>
            <w:tcBorders>
              <w:right w:val="single" w:sz="2" w:space="0" w:color="FFFFFF" w:themeColor="background1"/>
            </w:tcBorders>
            <w:shd w:val="clear" w:color="auto" w:fill="153D63" w:themeFill="text2" w:themeFillTint="E6"/>
            <w:vAlign w:val="center"/>
          </w:tcPr>
          <w:p w14:paraId="04187BF5" w14:textId="77777777" w:rsidR="00E20289" w:rsidRPr="007E08F7" w:rsidRDefault="00E20289" w:rsidP="003D2CB6">
            <w:pPr>
              <w:spacing w:line="259" w:lineRule="auto"/>
              <w:rPr>
                <w:rFonts w:eastAsia="Aptos"/>
                <w:b/>
                <w:color w:val="FFFFFF" w:themeColor="background1"/>
              </w:rPr>
            </w:pPr>
            <w:r w:rsidRPr="007E08F7">
              <w:rPr>
                <w:rFonts w:eastAsia="Aptos"/>
                <w:b/>
                <w:color w:val="FFFFFF" w:themeColor="background1"/>
              </w:rPr>
              <w:t>Nazwa</w:t>
            </w:r>
          </w:p>
        </w:tc>
        <w:tc>
          <w:tcPr>
            <w:tcW w:w="872" w:type="pct"/>
            <w:tcBorders>
              <w:left w:val="single" w:sz="2" w:space="0" w:color="FFFFFF" w:themeColor="background1"/>
              <w:right w:val="single" w:sz="2" w:space="0" w:color="FFFFFF" w:themeColor="background1"/>
            </w:tcBorders>
            <w:shd w:val="clear" w:color="auto" w:fill="153D63" w:themeFill="text2" w:themeFillTint="E6"/>
            <w:vAlign w:val="center"/>
          </w:tcPr>
          <w:p w14:paraId="3A581728" w14:textId="0ECD9034" w:rsidR="00E20289" w:rsidRPr="007E08F7" w:rsidRDefault="00E20289" w:rsidP="003D2CB6">
            <w:pPr>
              <w:spacing w:line="259" w:lineRule="auto"/>
              <w:rPr>
                <w:rFonts w:eastAsia="Aptos"/>
                <w:b/>
                <w:color w:val="FFFFFF" w:themeColor="background1"/>
              </w:rPr>
            </w:pPr>
            <w:r w:rsidRPr="007E08F7">
              <w:rPr>
                <w:rFonts w:eastAsia="Aptos"/>
                <w:b/>
                <w:color w:val="FFFFFF" w:themeColor="background1"/>
              </w:rPr>
              <w:t>Wartość bazowa</w:t>
            </w:r>
          </w:p>
        </w:tc>
        <w:tc>
          <w:tcPr>
            <w:tcW w:w="1017" w:type="pct"/>
            <w:tcBorders>
              <w:left w:val="single" w:sz="2" w:space="0" w:color="FFFFFF" w:themeColor="background1"/>
              <w:right w:val="single" w:sz="2" w:space="0" w:color="FFFFFF" w:themeColor="background1"/>
            </w:tcBorders>
            <w:shd w:val="clear" w:color="auto" w:fill="153D63" w:themeFill="text2" w:themeFillTint="E6"/>
            <w:vAlign w:val="center"/>
          </w:tcPr>
          <w:p w14:paraId="607D395D" w14:textId="77777777" w:rsidR="00E20289" w:rsidRPr="007E08F7" w:rsidRDefault="00E20289" w:rsidP="003D2CB6">
            <w:pPr>
              <w:spacing w:line="259" w:lineRule="auto"/>
              <w:rPr>
                <w:rFonts w:eastAsia="Aptos"/>
                <w:b/>
                <w:color w:val="FFFFFF" w:themeColor="background1"/>
              </w:rPr>
            </w:pPr>
            <w:r w:rsidRPr="007E08F7">
              <w:rPr>
                <w:rFonts w:eastAsia="Aptos"/>
                <w:b/>
                <w:color w:val="FFFFFF" w:themeColor="background1"/>
              </w:rPr>
              <w:t>Wartość docelowa</w:t>
            </w:r>
          </w:p>
        </w:tc>
        <w:tc>
          <w:tcPr>
            <w:tcW w:w="857" w:type="pct"/>
            <w:tcBorders>
              <w:left w:val="single" w:sz="2" w:space="0" w:color="FFFFFF" w:themeColor="background1"/>
            </w:tcBorders>
            <w:shd w:val="clear" w:color="auto" w:fill="153D63" w:themeFill="text2" w:themeFillTint="E6"/>
            <w:vAlign w:val="center"/>
          </w:tcPr>
          <w:p w14:paraId="3F0E8AD6" w14:textId="77777777" w:rsidR="00E20289" w:rsidRPr="007E08F7" w:rsidRDefault="00E20289" w:rsidP="003D2CB6">
            <w:pPr>
              <w:spacing w:line="259" w:lineRule="auto"/>
              <w:rPr>
                <w:rFonts w:eastAsia="Aptos"/>
                <w:b/>
                <w:color w:val="FFFFFF" w:themeColor="background1"/>
              </w:rPr>
            </w:pPr>
            <w:r w:rsidRPr="007E08F7">
              <w:rPr>
                <w:rFonts w:eastAsia="Aptos"/>
                <w:b/>
                <w:color w:val="FFFFFF" w:themeColor="background1"/>
              </w:rPr>
              <w:t>Źródło danych</w:t>
            </w:r>
          </w:p>
        </w:tc>
      </w:tr>
      <w:tr w:rsidR="00E20289" w:rsidRPr="007E08F7" w14:paraId="0078C678" w14:textId="77777777" w:rsidTr="00197513">
        <w:trPr>
          <w:cantSplit/>
        </w:trPr>
        <w:tc>
          <w:tcPr>
            <w:tcW w:w="2253" w:type="pct"/>
            <w:vAlign w:val="center"/>
          </w:tcPr>
          <w:p w14:paraId="4C853078" w14:textId="3F7BA5DD" w:rsidR="00E20289" w:rsidRPr="007E08F7" w:rsidRDefault="00E20289" w:rsidP="00197513">
            <w:pPr>
              <w:spacing w:after="120" w:line="276" w:lineRule="auto"/>
              <w:rPr>
                <w:rFonts w:eastAsia="Aptos"/>
              </w:rPr>
            </w:pPr>
            <w:r w:rsidRPr="007E08F7">
              <w:rPr>
                <w:rFonts w:eastAsia="Aptos"/>
              </w:rPr>
              <w:t>Oczekiwane trwanie życia w zdrowiu w</w:t>
            </w:r>
            <w:r w:rsidR="00197513" w:rsidRPr="007E08F7">
              <w:rPr>
                <w:rFonts w:eastAsia="Aptos"/>
              </w:rPr>
              <w:t> </w:t>
            </w:r>
            <w:r w:rsidRPr="007E08F7">
              <w:rPr>
                <w:rFonts w:eastAsia="Aptos"/>
              </w:rPr>
              <w:t>momencie narodzin [w latach]:</w:t>
            </w:r>
            <w:r w:rsidR="00197513" w:rsidRPr="007E08F7">
              <w:rPr>
                <w:rFonts w:eastAsia="Aptos"/>
              </w:rPr>
              <w:br/>
            </w:r>
            <w:r w:rsidRPr="007E08F7">
              <w:rPr>
                <w:rFonts w:eastAsia="Aptos"/>
              </w:rPr>
              <w:t>– mężczyźni</w:t>
            </w:r>
            <w:r w:rsidR="00197513" w:rsidRPr="007E08F7">
              <w:rPr>
                <w:rFonts w:eastAsia="Aptos"/>
              </w:rPr>
              <w:br/>
            </w:r>
            <w:r w:rsidRPr="007E08F7">
              <w:rPr>
                <w:rFonts w:eastAsia="Aptos"/>
              </w:rPr>
              <w:t>– kobiety</w:t>
            </w:r>
          </w:p>
        </w:tc>
        <w:tc>
          <w:tcPr>
            <w:tcW w:w="872" w:type="pct"/>
            <w:vAlign w:val="center"/>
          </w:tcPr>
          <w:p w14:paraId="3A2F0AFF" w14:textId="0677B37F" w:rsidR="00E20289" w:rsidRPr="007E08F7" w:rsidRDefault="00E20289" w:rsidP="00197513">
            <w:pPr>
              <w:spacing w:after="120" w:line="276" w:lineRule="auto"/>
              <w:rPr>
                <w:rFonts w:eastAsia="Aptos"/>
              </w:rPr>
            </w:pPr>
            <w:r w:rsidRPr="007E08F7">
              <w:rPr>
                <w:rFonts w:eastAsia="Aptos"/>
              </w:rPr>
              <w:t>62,0</w:t>
            </w:r>
            <w:r w:rsidR="00197513" w:rsidRPr="007E08F7">
              <w:rPr>
                <w:rFonts w:eastAsia="Aptos"/>
              </w:rPr>
              <w:br/>
            </w:r>
            <w:r w:rsidRPr="007E08F7">
              <w:rPr>
                <w:rFonts w:eastAsia="Aptos"/>
              </w:rPr>
              <w:t>65,</w:t>
            </w:r>
            <w:r w:rsidR="00197513" w:rsidRPr="007E08F7">
              <w:rPr>
                <w:rFonts w:eastAsia="Aptos"/>
              </w:rPr>
              <w:br/>
            </w:r>
            <w:r w:rsidRPr="007E08F7">
              <w:rPr>
                <w:rFonts w:eastAsia="Aptos"/>
              </w:rPr>
              <w:t>(2024)</w:t>
            </w:r>
          </w:p>
        </w:tc>
        <w:tc>
          <w:tcPr>
            <w:tcW w:w="1017" w:type="pct"/>
            <w:vAlign w:val="center"/>
          </w:tcPr>
          <w:p w14:paraId="39C5B819" w14:textId="77777777" w:rsidR="00E20289" w:rsidRPr="007E08F7" w:rsidRDefault="00E20289" w:rsidP="00197513">
            <w:pPr>
              <w:spacing w:after="120" w:line="276" w:lineRule="auto"/>
              <w:rPr>
                <w:rFonts w:eastAsia="Aptos"/>
              </w:rPr>
            </w:pPr>
            <w:r w:rsidRPr="007E08F7">
              <w:rPr>
                <w:rFonts w:eastAsia="Aptos"/>
              </w:rPr>
              <w:t>do uzupełnienia</w:t>
            </w:r>
          </w:p>
        </w:tc>
        <w:tc>
          <w:tcPr>
            <w:tcW w:w="857" w:type="pct"/>
            <w:vAlign w:val="center"/>
          </w:tcPr>
          <w:p w14:paraId="71345A4A" w14:textId="77777777" w:rsidR="00E20289" w:rsidRPr="007E08F7" w:rsidRDefault="00E20289" w:rsidP="00197513">
            <w:pPr>
              <w:spacing w:after="120" w:line="276" w:lineRule="auto"/>
              <w:rPr>
                <w:rFonts w:eastAsia="Aptos"/>
              </w:rPr>
            </w:pPr>
            <w:r w:rsidRPr="007E08F7">
              <w:rPr>
                <w:rFonts w:eastAsia="Aptos"/>
              </w:rPr>
              <w:t>GUS</w:t>
            </w:r>
          </w:p>
        </w:tc>
      </w:tr>
      <w:tr w:rsidR="00E20289" w:rsidRPr="007E08F7" w14:paraId="78FD9221" w14:textId="77777777" w:rsidTr="00197513">
        <w:trPr>
          <w:cantSplit/>
        </w:trPr>
        <w:tc>
          <w:tcPr>
            <w:tcW w:w="2253" w:type="pct"/>
            <w:vAlign w:val="center"/>
          </w:tcPr>
          <w:p w14:paraId="34628731" w14:textId="5535B29E" w:rsidR="00E20289" w:rsidRPr="007E08F7" w:rsidRDefault="00E20289" w:rsidP="00197513">
            <w:pPr>
              <w:spacing w:after="120" w:line="276" w:lineRule="auto"/>
              <w:rPr>
                <w:rFonts w:eastAsia="Aptos"/>
              </w:rPr>
            </w:pPr>
            <w:r w:rsidRPr="007E08F7">
              <w:rPr>
                <w:rFonts w:eastAsia="Aptos"/>
              </w:rPr>
              <w:t>Liczba osób objętych usługami</w:t>
            </w:r>
            <w:r w:rsidR="00197513" w:rsidRPr="007E08F7">
              <w:rPr>
                <w:rFonts w:eastAsia="Aptos"/>
              </w:rPr>
              <w:t> </w:t>
            </w:r>
            <w:r w:rsidRPr="007E08F7">
              <w:rPr>
                <w:rFonts w:eastAsia="Aptos"/>
              </w:rPr>
              <w:t>opiekuńczymi w</w:t>
            </w:r>
            <w:r w:rsidR="00197513" w:rsidRPr="007E08F7">
              <w:rPr>
                <w:rFonts w:eastAsia="Aptos"/>
              </w:rPr>
              <w:t> </w:t>
            </w:r>
            <w:r w:rsidRPr="007E08F7">
              <w:rPr>
                <w:rFonts w:eastAsia="Aptos"/>
              </w:rPr>
              <w:t>miejscu</w:t>
            </w:r>
            <w:r w:rsidR="00197513" w:rsidRPr="007E08F7">
              <w:rPr>
                <w:rFonts w:eastAsia="Aptos"/>
              </w:rPr>
              <w:t> </w:t>
            </w:r>
            <w:r w:rsidRPr="007E08F7">
              <w:rPr>
                <w:rFonts w:eastAsia="Aptos"/>
              </w:rPr>
              <w:t>zamieszkania na</w:t>
            </w:r>
            <w:r w:rsidR="00197513" w:rsidRPr="007E08F7">
              <w:rPr>
                <w:rFonts w:eastAsia="Aptos"/>
              </w:rPr>
              <w:t> </w:t>
            </w:r>
            <w:r w:rsidRPr="007E08F7">
              <w:rPr>
                <w:rFonts w:eastAsia="Aptos"/>
              </w:rPr>
              <w:t>10</w:t>
            </w:r>
            <w:r w:rsidR="00197513" w:rsidRPr="007E08F7">
              <w:rPr>
                <w:rFonts w:eastAsia="Aptos"/>
              </w:rPr>
              <w:t> </w:t>
            </w:r>
            <w:r w:rsidRPr="007E08F7">
              <w:rPr>
                <w:rFonts w:eastAsia="Aptos"/>
              </w:rPr>
              <w:t>tys.</w:t>
            </w:r>
            <w:r w:rsidR="00197513" w:rsidRPr="007E08F7">
              <w:rPr>
                <w:rFonts w:eastAsia="Aptos"/>
              </w:rPr>
              <w:t> </w:t>
            </w:r>
            <w:r w:rsidRPr="007E08F7">
              <w:rPr>
                <w:rFonts w:eastAsia="Aptos"/>
              </w:rPr>
              <w:t>mieszkańców</w:t>
            </w:r>
          </w:p>
        </w:tc>
        <w:tc>
          <w:tcPr>
            <w:tcW w:w="872" w:type="pct"/>
            <w:vAlign w:val="center"/>
          </w:tcPr>
          <w:p w14:paraId="07556D70" w14:textId="3669274A" w:rsidR="00E20289" w:rsidRPr="007E08F7" w:rsidRDefault="00E20289" w:rsidP="00197513">
            <w:pPr>
              <w:spacing w:after="120" w:line="276" w:lineRule="auto"/>
              <w:rPr>
                <w:rFonts w:eastAsia="Aptos"/>
              </w:rPr>
            </w:pPr>
            <w:r w:rsidRPr="007E08F7">
              <w:rPr>
                <w:rFonts w:eastAsia="Aptos"/>
              </w:rPr>
              <w:t>33,1</w:t>
            </w:r>
            <w:r w:rsidR="00197513" w:rsidRPr="007E08F7">
              <w:rPr>
                <w:rFonts w:eastAsia="Aptos"/>
              </w:rPr>
              <w:br/>
            </w:r>
            <w:r w:rsidRPr="007E08F7">
              <w:rPr>
                <w:rFonts w:eastAsia="Aptos"/>
              </w:rPr>
              <w:t>(2025)</w:t>
            </w:r>
          </w:p>
        </w:tc>
        <w:tc>
          <w:tcPr>
            <w:tcW w:w="1017" w:type="pct"/>
            <w:vAlign w:val="center"/>
          </w:tcPr>
          <w:p w14:paraId="73541DED" w14:textId="77777777" w:rsidR="00E20289" w:rsidRPr="007E08F7" w:rsidRDefault="00E20289" w:rsidP="00197513">
            <w:pPr>
              <w:spacing w:after="120" w:line="276" w:lineRule="auto"/>
              <w:rPr>
                <w:rFonts w:eastAsia="Aptos"/>
              </w:rPr>
            </w:pPr>
            <w:r w:rsidRPr="007E08F7">
              <w:rPr>
                <w:rFonts w:eastAsia="Aptos"/>
              </w:rPr>
              <w:t>do uzupełnienia</w:t>
            </w:r>
          </w:p>
        </w:tc>
        <w:tc>
          <w:tcPr>
            <w:tcW w:w="857" w:type="pct"/>
            <w:vAlign w:val="center"/>
          </w:tcPr>
          <w:p w14:paraId="7D0D0ECC" w14:textId="63594F2C" w:rsidR="00E20289" w:rsidRPr="007E08F7" w:rsidRDefault="00E20289" w:rsidP="00197513">
            <w:pPr>
              <w:spacing w:after="120" w:line="276" w:lineRule="auto"/>
              <w:rPr>
                <w:rFonts w:eastAsia="Aptos"/>
              </w:rPr>
            </w:pPr>
            <w:r w:rsidRPr="007E08F7">
              <w:rPr>
                <w:rFonts w:eastAsia="Aptos"/>
              </w:rPr>
              <w:t>Obliczenia własne na</w:t>
            </w:r>
            <w:r w:rsidR="00ED576F" w:rsidRPr="007E08F7">
              <w:rPr>
                <w:rFonts w:eastAsia="Aptos"/>
              </w:rPr>
              <w:t> </w:t>
            </w:r>
            <w:r w:rsidRPr="007E08F7">
              <w:rPr>
                <w:rFonts w:eastAsia="Aptos"/>
              </w:rPr>
              <w:t>podstawie danych GUS</w:t>
            </w:r>
          </w:p>
        </w:tc>
      </w:tr>
      <w:tr w:rsidR="00E20289" w:rsidRPr="007E08F7" w14:paraId="31DB5269" w14:textId="77777777" w:rsidTr="00197513">
        <w:trPr>
          <w:cantSplit/>
          <w:trHeight w:val="226"/>
        </w:trPr>
        <w:tc>
          <w:tcPr>
            <w:tcW w:w="2253" w:type="pct"/>
            <w:vAlign w:val="center"/>
          </w:tcPr>
          <w:p w14:paraId="32DBFD17" w14:textId="004CE186" w:rsidR="00E20289" w:rsidRPr="007E08F7" w:rsidRDefault="00E20289" w:rsidP="00197513">
            <w:pPr>
              <w:spacing w:after="120" w:line="276" w:lineRule="auto"/>
              <w:rPr>
                <w:rFonts w:eastAsia="Aptos"/>
              </w:rPr>
            </w:pPr>
            <w:r w:rsidRPr="007E08F7">
              <w:rPr>
                <w:rFonts w:eastAsia="Aptos"/>
              </w:rPr>
              <w:t>Udział pacjentów objętych opieką</w:t>
            </w:r>
            <w:r w:rsidR="00197513" w:rsidRPr="007E08F7">
              <w:rPr>
                <w:rFonts w:eastAsia="Aptos"/>
              </w:rPr>
              <w:t> </w:t>
            </w:r>
            <w:r w:rsidRPr="007E08F7">
              <w:rPr>
                <w:rFonts w:eastAsia="Aptos"/>
              </w:rPr>
              <w:t>domową w ramach opieki</w:t>
            </w:r>
            <w:r w:rsidR="00197513" w:rsidRPr="007E08F7">
              <w:rPr>
                <w:rFonts w:eastAsia="Aptos"/>
              </w:rPr>
              <w:t> </w:t>
            </w:r>
            <w:r w:rsidRPr="007E08F7">
              <w:rPr>
                <w:rFonts w:eastAsia="Aptos"/>
              </w:rPr>
              <w:t>długoterminowej</w:t>
            </w:r>
          </w:p>
        </w:tc>
        <w:tc>
          <w:tcPr>
            <w:tcW w:w="872" w:type="pct"/>
            <w:vAlign w:val="center"/>
          </w:tcPr>
          <w:p w14:paraId="3C8933FF" w14:textId="77777777" w:rsidR="00E20289" w:rsidRPr="007E08F7" w:rsidRDefault="00E20289" w:rsidP="00197513">
            <w:pPr>
              <w:spacing w:after="120" w:line="276" w:lineRule="auto"/>
              <w:rPr>
                <w:rFonts w:eastAsia="Aptos"/>
              </w:rPr>
            </w:pPr>
            <w:r w:rsidRPr="007E08F7">
              <w:rPr>
                <w:rFonts w:eastAsia="Aptos"/>
              </w:rPr>
              <w:t xml:space="preserve">41,7%; </w:t>
            </w:r>
            <w:r w:rsidRPr="007E08F7">
              <w:rPr>
                <w:rFonts w:eastAsia="Aptos"/>
              </w:rPr>
              <w:br/>
              <w:t xml:space="preserve">PL – 58,9% </w:t>
            </w:r>
            <w:r w:rsidRPr="007E08F7">
              <w:rPr>
                <w:rFonts w:eastAsia="Aptos"/>
              </w:rPr>
              <w:br/>
              <w:t>(2024)</w:t>
            </w:r>
          </w:p>
        </w:tc>
        <w:tc>
          <w:tcPr>
            <w:tcW w:w="1017" w:type="pct"/>
            <w:vAlign w:val="center"/>
          </w:tcPr>
          <w:p w14:paraId="769C92E7" w14:textId="6C018BEB" w:rsidR="00E20289" w:rsidRPr="007E08F7" w:rsidRDefault="00E20289" w:rsidP="00197513">
            <w:pPr>
              <w:spacing w:after="120" w:line="276" w:lineRule="auto"/>
              <w:rPr>
                <w:rFonts w:eastAsia="Aptos"/>
              </w:rPr>
            </w:pPr>
            <w:r w:rsidRPr="007E08F7">
              <w:rPr>
                <w:rFonts w:eastAsia="Aptos"/>
              </w:rPr>
              <w:t>zmniejszenie dystansu do</w:t>
            </w:r>
            <w:r w:rsidR="00ED576F" w:rsidRPr="007E08F7">
              <w:rPr>
                <w:rFonts w:eastAsia="Aptos"/>
              </w:rPr>
              <w:t> </w:t>
            </w:r>
            <w:r w:rsidRPr="007E08F7">
              <w:rPr>
                <w:rFonts w:eastAsia="Aptos"/>
              </w:rPr>
              <w:t>wartości krajowej</w:t>
            </w:r>
          </w:p>
        </w:tc>
        <w:tc>
          <w:tcPr>
            <w:tcW w:w="857" w:type="pct"/>
            <w:vAlign w:val="center"/>
          </w:tcPr>
          <w:p w14:paraId="6FBC9CE1" w14:textId="3709D217" w:rsidR="00E20289" w:rsidRPr="007E08F7" w:rsidRDefault="00E20289" w:rsidP="00197513">
            <w:pPr>
              <w:spacing w:after="120" w:line="276" w:lineRule="auto"/>
              <w:rPr>
                <w:rFonts w:eastAsia="Aptos"/>
              </w:rPr>
            </w:pPr>
            <w:r w:rsidRPr="007E08F7">
              <w:rPr>
                <w:rFonts w:eastAsia="Aptos"/>
              </w:rPr>
              <w:t>Obliczenia własne na</w:t>
            </w:r>
            <w:r w:rsidR="00ED576F" w:rsidRPr="007E08F7">
              <w:rPr>
                <w:rFonts w:eastAsia="Aptos"/>
              </w:rPr>
              <w:t> </w:t>
            </w:r>
            <w:r w:rsidRPr="007E08F7">
              <w:rPr>
                <w:rFonts w:eastAsia="Aptos"/>
              </w:rPr>
              <w:t>podstawie danych MZ</w:t>
            </w:r>
          </w:p>
        </w:tc>
      </w:tr>
      <w:tr w:rsidR="00E20289" w:rsidRPr="007E08F7" w14:paraId="1AD50641" w14:textId="77777777" w:rsidTr="00197513">
        <w:trPr>
          <w:cantSplit/>
        </w:trPr>
        <w:tc>
          <w:tcPr>
            <w:tcW w:w="2253" w:type="pct"/>
            <w:vAlign w:val="center"/>
          </w:tcPr>
          <w:p w14:paraId="45F5448F" w14:textId="5D5AEAD8" w:rsidR="00E20289" w:rsidRPr="007E08F7" w:rsidRDefault="00E20289" w:rsidP="00197513">
            <w:pPr>
              <w:spacing w:after="120" w:line="276" w:lineRule="auto"/>
              <w:rPr>
                <w:rFonts w:eastAsia="Aptos"/>
              </w:rPr>
            </w:pPr>
            <w:r w:rsidRPr="007E08F7">
              <w:rPr>
                <w:rFonts w:eastAsia="Aptos"/>
              </w:rPr>
              <w:t>Zgony z powodu zaburzeń psychicznych i</w:t>
            </w:r>
            <w:r w:rsidR="00197513" w:rsidRPr="007E08F7">
              <w:rPr>
                <w:rFonts w:eastAsia="Aptos"/>
              </w:rPr>
              <w:t> </w:t>
            </w:r>
            <w:r w:rsidRPr="007E08F7">
              <w:rPr>
                <w:rFonts w:eastAsia="Aptos"/>
              </w:rPr>
              <w:t>zaburzeń zachowania na</w:t>
            </w:r>
            <w:r w:rsidR="00197513" w:rsidRPr="007E08F7">
              <w:rPr>
                <w:rFonts w:eastAsia="Aptos"/>
              </w:rPr>
              <w:t> </w:t>
            </w:r>
            <w:r w:rsidRPr="007E08F7">
              <w:rPr>
                <w:rFonts w:eastAsia="Aptos"/>
              </w:rPr>
              <w:t>100</w:t>
            </w:r>
            <w:r w:rsidR="00197513" w:rsidRPr="007E08F7">
              <w:rPr>
                <w:rFonts w:eastAsia="Aptos"/>
              </w:rPr>
              <w:t> </w:t>
            </w:r>
            <w:r w:rsidRPr="007E08F7">
              <w:rPr>
                <w:rFonts w:eastAsia="Aptos"/>
              </w:rPr>
              <w:t>tys.</w:t>
            </w:r>
            <w:r w:rsidR="00197513" w:rsidRPr="007E08F7">
              <w:rPr>
                <w:rFonts w:eastAsia="Aptos"/>
              </w:rPr>
              <w:t> </w:t>
            </w:r>
            <w:r w:rsidRPr="007E08F7">
              <w:rPr>
                <w:rFonts w:eastAsia="Aptos"/>
              </w:rPr>
              <w:t>ludności</w:t>
            </w:r>
          </w:p>
        </w:tc>
        <w:tc>
          <w:tcPr>
            <w:tcW w:w="872" w:type="pct"/>
            <w:vAlign w:val="center"/>
          </w:tcPr>
          <w:p w14:paraId="6D54078D" w14:textId="77777777" w:rsidR="00E20289" w:rsidRPr="007E08F7" w:rsidRDefault="00E20289" w:rsidP="00197513">
            <w:pPr>
              <w:spacing w:after="120" w:line="276" w:lineRule="auto"/>
              <w:rPr>
                <w:rFonts w:eastAsia="Aptos"/>
              </w:rPr>
            </w:pPr>
            <w:r w:rsidRPr="007E08F7">
              <w:rPr>
                <w:rFonts w:eastAsia="Aptos"/>
              </w:rPr>
              <w:t>18,1;</w:t>
            </w:r>
            <w:r w:rsidRPr="007E08F7">
              <w:rPr>
                <w:rFonts w:eastAsia="Aptos"/>
              </w:rPr>
              <w:br/>
              <w:t>PL – 13,4</w:t>
            </w:r>
            <w:r w:rsidRPr="007E08F7">
              <w:rPr>
                <w:rFonts w:eastAsia="Aptos"/>
              </w:rPr>
              <w:br/>
              <w:t>(2024)</w:t>
            </w:r>
          </w:p>
        </w:tc>
        <w:tc>
          <w:tcPr>
            <w:tcW w:w="1017" w:type="pct"/>
            <w:vAlign w:val="center"/>
          </w:tcPr>
          <w:p w14:paraId="4BB291C0" w14:textId="49B176A2" w:rsidR="00E20289" w:rsidRPr="007E08F7" w:rsidDel="0023712A" w:rsidRDefault="00E20289" w:rsidP="00197513">
            <w:pPr>
              <w:spacing w:after="120" w:line="276" w:lineRule="auto"/>
              <w:rPr>
                <w:rFonts w:eastAsia="Aptos"/>
              </w:rPr>
            </w:pPr>
            <w:r w:rsidRPr="007E08F7">
              <w:rPr>
                <w:rFonts w:eastAsia="Aptos"/>
              </w:rPr>
              <w:t>zmniejszenie dystansu do</w:t>
            </w:r>
            <w:r w:rsidR="00ED576F" w:rsidRPr="007E08F7">
              <w:rPr>
                <w:rFonts w:eastAsia="Aptos"/>
              </w:rPr>
              <w:t> </w:t>
            </w:r>
            <w:r w:rsidRPr="007E08F7">
              <w:rPr>
                <w:rFonts w:eastAsia="Aptos"/>
              </w:rPr>
              <w:t>wartości krajowej</w:t>
            </w:r>
          </w:p>
        </w:tc>
        <w:tc>
          <w:tcPr>
            <w:tcW w:w="857" w:type="pct"/>
            <w:vAlign w:val="center"/>
          </w:tcPr>
          <w:p w14:paraId="1C8E5163" w14:textId="77777777" w:rsidR="00E20289" w:rsidRPr="007E08F7" w:rsidRDefault="00E20289" w:rsidP="00197513">
            <w:pPr>
              <w:spacing w:after="120" w:line="276" w:lineRule="auto"/>
              <w:rPr>
                <w:rFonts w:eastAsia="Aptos"/>
              </w:rPr>
            </w:pPr>
            <w:r w:rsidRPr="007E08F7">
              <w:rPr>
                <w:rFonts w:eastAsia="Aptos"/>
              </w:rPr>
              <w:t>GUS</w:t>
            </w:r>
          </w:p>
        </w:tc>
      </w:tr>
    </w:tbl>
    <w:p w14:paraId="3F3C84E0" w14:textId="2CE609D4" w:rsidR="0085124A" w:rsidRPr="007E08F7" w:rsidRDefault="0085124A" w:rsidP="00ED576F">
      <w:pPr>
        <w:pStyle w:val="Nagwek4"/>
        <w:spacing w:before="360"/>
        <w:rPr>
          <w:rFonts w:eastAsia="Aptos"/>
          <w:iCs w:val="0"/>
        </w:rPr>
      </w:pPr>
      <w:r w:rsidRPr="007E08F7">
        <w:rPr>
          <w:rFonts w:eastAsia="Aptos"/>
          <w:iCs w:val="0"/>
        </w:rPr>
        <w:t>Postulaty wobec władz centralnych</w:t>
      </w:r>
      <w:r w:rsidR="0024620F" w:rsidRPr="007E08F7">
        <w:rPr>
          <w:rFonts w:eastAsia="Aptos"/>
          <w:iCs w:val="0"/>
        </w:rPr>
        <w:t xml:space="preserve"> CO 4.1</w:t>
      </w:r>
    </w:p>
    <w:p w14:paraId="6E46A1B2" w14:textId="77777777" w:rsidR="0082344F" w:rsidRPr="007E08F7" w:rsidRDefault="0085124A">
      <w:pPr>
        <w:numPr>
          <w:ilvl w:val="0"/>
          <w:numId w:val="54"/>
        </w:numPr>
        <w:spacing w:before="120" w:after="120" w:line="288" w:lineRule="auto"/>
        <w:rPr>
          <w:rFonts w:eastAsia="Aptos" w:cs="Aptos"/>
          <w:kern w:val="0"/>
          <w14:ligatures w14:val="none"/>
        </w:rPr>
      </w:pPr>
      <w:r w:rsidRPr="007E08F7">
        <w:rPr>
          <w:rFonts w:eastAsia="Aptos" w:cs="Aptos"/>
          <w:kern w:val="0"/>
          <w14:ligatures w14:val="none"/>
        </w:rPr>
        <w:t xml:space="preserve">Systemowa koordynacja i integracja przepływu informacji pomiędzy ochroną zdrowia, pomocą społeczną, edukacją oraz rynkiem pracy. </w:t>
      </w:r>
    </w:p>
    <w:p w14:paraId="27792533" w14:textId="3BA0023D" w:rsidR="0082344F" w:rsidRPr="007E08F7" w:rsidRDefault="0085124A">
      <w:pPr>
        <w:numPr>
          <w:ilvl w:val="0"/>
          <w:numId w:val="54"/>
        </w:numPr>
        <w:spacing w:before="120" w:after="120" w:line="288" w:lineRule="auto"/>
        <w:rPr>
          <w:rFonts w:eastAsia="Aptos" w:cs="Aptos"/>
          <w:kern w:val="0"/>
          <w14:ligatures w14:val="none"/>
        </w:rPr>
      </w:pPr>
      <w:r w:rsidRPr="007E08F7">
        <w:rPr>
          <w:rFonts w:eastAsia="Aptos" w:cs="Aptos"/>
          <w:kern w:val="0"/>
          <w14:ligatures w14:val="none"/>
        </w:rPr>
        <w:t>Przeprowadzanie kompleksowej reformy w celu zwiększenia efektywności narzędzi wspierania rodziny, profesjonalizacji rodzinnych form pieczy zastępczej, zwiększenia efektywności procesu usamodzielnień, poprawy sytuacji pełnoletnich osób z</w:t>
      </w:r>
      <w:r w:rsidR="00ED576F" w:rsidRPr="007E08F7">
        <w:rPr>
          <w:rFonts w:eastAsia="Aptos" w:cs="Aptos"/>
          <w:kern w:val="0"/>
          <w14:ligatures w14:val="none"/>
        </w:rPr>
        <w:t> </w:t>
      </w:r>
      <w:r w:rsidRPr="007E08F7">
        <w:rPr>
          <w:rFonts w:eastAsia="Aptos" w:cs="Aptos"/>
          <w:kern w:val="0"/>
          <w14:ligatures w14:val="none"/>
        </w:rPr>
        <w:t>niepełnosprawnością przebywających w pieczy zastępczej.</w:t>
      </w:r>
    </w:p>
    <w:p w14:paraId="4823EB47" w14:textId="77777777" w:rsidR="0082344F" w:rsidRPr="007E08F7" w:rsidRDefault="0085124A">
      <w:pPr>
        <w:numPr>
          <w:ilvl w:val="0"/>
          <w:numId w:val="54"/>
        </w:numPr>
        <w:spacing w:before="120" w:after="120" w:line="288" w:lineRule="auto"/>
        <w:rPr>
          <w:rFonts w:eastAsia="Aptos" w:cs="Aptos"/>
          <w:kern w:val="0"/>
          <w14:ligatures w14:val="none"/>
        </w:rPr>
      </w:pPr>
      <w:r w:rsidRPr="007E08F7">
        <w:rPr>
          <w:rFonts w:eastAsia="Aptos" w:cs="Aptos"/>
          <w:kern w:val="0"/>
          <w14:ligatures w14:val="none"/>
        </w:rPr>
        <w:t>Zapewnienie finansowania świadczeń realizowanych w formie środowiskowej adekwatnie do potrzeb.</w:t>
      </w:r>
    </w:p>
    <w:p w14:paraId="27CA073A" w14:textId="0FAF0372" w:rsidR="001B3B0E" w:rsidRPr="007E08F7" w:rsidRDefault="0085124A">
      <w:pPr>
        <w:numPr>
          <w:ilvl w:val="0"/>
          <w:numId w:val="54"/>
        </w:numPr>
        <w:spacing w:before="120" w:after="120" w:line="288" w:lineRule="auto"/>
        <w:rPr>
          <w:rFonts w:eastAsia="Aptos" w:cs="Aptos"/>
          <w:kern w:val="0"/>
          <w14:ligatures w14:val="none"/>
        </w:rPr>
      </w:pPr>
      <w:r w:rsidRPr="007E08F7">
        <w:rPr>
          <w:rFonts w:eastAsia="Aptos" w:cs="Aptos"/>
          <w:kern w:val="0"/>
          <w14:ligatures w14:val="none"/>
        </w:rPr>
        <w:t>Kontynuacja reformy systemu ochrony zdrowia psychicznego</w:t>
      </w:r>
      <w:r w:rsidR="001B3B0E" w:rsidRPr="007E08F7">
        <w:rPr>
          <w:rFonts w:eastAsia="Aptos" w:cs="Aptos"/>
          <w:kern w:val="0"/>
          <w14:ligatures w14:val="none"/>
        </w:rPr>
        <w:t>.</w:t>
      </w:r>
      <w:r w:rsidR="00C3105E" w:rsidRPr="007E08F7">
        <w:rPr>
          <w:rFonts w:eastAsia="Aptos" w:cs="Aptos"/>
          <w:kern w:val="0"/>
          <w14:ligatures w14:val="none"/>
        </w:rPr>
        <w:br w:type="page"/>
      </w:r>
    </w:p>
    <w:p w14:paraId="4092DCC3" w14:textId="77777777" w:rsidR="001B3B0E" w:rsidRPr="007E08F7" w:rsidRDefault="001B3B0E" w:rsidP="002F715A">
      <w:pPr>
        <w:pStyle w:val="Nagwek3"/>
      </w:pPr>
      <w:bookmarkStart w:id="70" w:name="_Toc239772097"/>
      <w:r w:rsidRPr="007E08F7">
        <w:lastRenderedPageBreak/>
        <w:t>Cel operacyjny 4.2. Region atrakcyjny osiedleńczo</w:t>
      </w:r>
      <w:bookmarkEnd w:id="70"/>
    </w:p>
    <w:p w14:paraId="5D2C0472" w14:textId="2D0A75D9" w:rsidR="001B3B0E" w:rsidRPr="007E08F7" w:rsidRDefault="001B3B0E" w:rsidP="0086073D">
      <w:pPr>
        <w:pStyle w:val="Nagwek4"/>
        <w:rPr>
          <w:rFonts w:eastAsia="Aptos"/>
          <w:iCs w:val="0"/>
        </w:rPr>
      </w:pPr>
      <w:r w:rsidRPr="007E08F7">
        <w:rPr>
          <w:rFonts w:eastAsia="Aptos"/>
          <w:iCs w:val="0"/>
        </w:rPr>
        <w:t>Przesłanki realizacji Celu operacyjnego</w:t>
      </w:r>
      <w:r w:rsidR="0024620F" w:rsidRPr="007E08F7">
        <w:rPr>
          <w:rFonts w:eastAsia="Aptos"/>
          <w:iCs w:val="0"/>
        </w:rPr>
        <w:t xml:space="preserve"> 4.2</w:t>
      </w:r>
    </w:p>
    <w:p w14:paraId="6F795899" w14:textId="6272E909" w:rsidR="0085124A" w:rsidRPr="007E08F7" w:rsidRDefault="0085124A" w:rsidP="0085124A">
      <w:pPr>
        <w:spacing w:before="120" w:after="120" w:line="288" w:lineRule="auto"/>
        <w:rPr>
          <w:rFonts w:eastAsia="Aptos"/>
        </w:rPr>
      </w:pPr>
      <w:r w:rsidRPr="007E08F7">
        <w:rPr>
          <w:rFonts w:eastAsia="Aptos"/>
        </w:rPr>
        <w:t>Zmiany demograficzne i gospodarcze wymagają otwarcia regionu na nowych mieszkańców, zarówno osoby przybywające z innych części kraju, jak i migrantów zagranicznych. Migracje mogą stać się ważnym elementem uzupełniającym potencjał demograficzny i gospodarczy Pomorza, jednak ich pozytywny wpływ zależy od</w:t>
      </w:r>
      <w:r w:rsidR="00ED576F" w:rsidRPr="007E08F7">
        <w:rPr>
          <w:rFonts w:eastAsia="Aptos"/>
        </w:rPr>
        <w:t> </w:t>
      </w:r>
      <w:r w:rsidRPr="007E08F7">
        <w:rPr>
          <w:rFonts w:eastAsia="Aptos"/>
        </w:rPr>
        <w:t>skutecznej integracji ze społecznością regionu. Konieczne jest tworzenie przyjaznego środowiska, w którym osoby przybywające do regionu mogą szybko odnaleźć się w</w:t>
      </w:r>
      <w:r w:rsidR="00ED576F" w:rsidRPr="007E08F7">
        <w:rPr>
          <w:rFonts w:eastAsia="Aptos"/>
        </w:rPr>
        <w:t> </w:t>
      </w:r>
      <w:r w:rsidRPr="007E08F7">
        <w:rPr>
          <w:rFonts w:eastAsia="Aptos"/>
        </w:rPr>
        <w:t xml:space="preserve">lokalnej społeczności, uzyskać dostęp do usług publicznych oraz budować poczucie przynależności. Do tego niezbędne jest przygotowanie społeczeństwa i instytucji publicznych do funkcjonowania w warunkach rosnącej różnorodności. </w:t>
      </w:r>
    </w:p>
    <w:p w14:paraId="1D48C9EA" w14:textId="0798B2DA" w:rsidR="0085124A" w:rsidRPr="007E08F7" w:rsidRDefault="0085124A" w:rsidP="0085124A">
      <w:pPr>
        <w:spacing w:before="120" w:after="120" w:line="288" w:lineRule="auto"/>
        <w:rPr>
          <w:rFonts w:eastAsia="Aptos"/>
        </w:rPr>
      </w:pPr>
      <w:r w:rsidRPr="007E08F7">
        <w:rPr>
          <w:rFonts w:eastAsia="Aptos"/>
        </w:rPr>
        <w:t>Istotnym warunkiem stabilności demograficznej jest także dostępność mieszkań i ich adekwatność do potrzeb różnych grup mieszkańców. Polityka mieszkaniowa w regionie powinna być rozwijana w sposób selektywny, ukierunkowany na obszary i kategorie mieszkańców kluczowe w kontekście aktywnego zarządzania zmianą demograficzną (takie jak np. osoby o szczególnych potrzebach opiekuńczych, specjaliści niezbędni dla</w:t>
      </w:r>
      <w:r w:rsidR="00ED576F" w:rsidRPr="007E08F7">
        <w:rPr>
          <w:rFonts w:eastAsia="Aptos"/>
        </w:rPr>
        <w:t> </w:t>
      </w:r>
      <w:r w:rsidRPr="007E08F7">
        <w:rPr>
          <w:rFonts w:eastAsia="Aptos"/>
        </w:rPr>
        <w:t xml:space="preserve">utrzymania usług publicznych, studenci i uczniowie). </w:t>
      </w:r>
    </w:p>
    <w:p w14:paraId="0C76D1E1" w14:textId="2543022B" w:rsidR="0085124A" w:rsidRPr="007E08F7" w:rsidRDefault="0085124A" w:rsidP="0085124A">
      <w:pPr>
        <w:spacing w:before="120" w:after="120" w:line="288" w:lineRule="auto"/>
        <w:rPr>
          <w:rFonts w:eastAsia="Aptos"/>
        </w:rPr>
      </w:pPr>
      <w:r w:rsidRPr="007E08F7">
        <w:rPr>
          <w:rFonts w:eastAsia="Aptos"/>
        </w:rPr>
        <w:t>Wzmacnianiu atrakcyjności osiedleńczej Pomorza i sprzyjaniu podejmowania decyzji o</w:t>
      </w:r>
      <w:r w:rsidR="002C563C" w:rsidRPr="007E08F7">
        <w:rPr>
          <w:rFonts w:eastAsia="Aptos"/>
        </w:rPr>
        <w:t> </w:t>
      </w:r>
      <w:r w:rsidRPr="007E08F7">
        <w:rPr>
          <w:rFonts w:eastAsia="Aptos"/>
        </w:rPr>
        <w:t xml:space="preserve">zamieszkaniu czy też pozostaniu w regionie służyć będzie również zwiększanie dostępności opieki nad dziećmi do lat 3, zwłaszcza na obszarach o niedostatecznej ofercie w tym zakresie. </w:t>
      </w:r>
    </w:p>
    <w:p w14:paraId="455E5D3C" w14:textId="04A886AE" w:rsidR="0085124A" w:rsidRPr="007E08F7" w:rsidRDefault="0085124A" w:rsidP="0086073D">
      <w:pPr>
        <w:pStyle w:val="Nagwek4"/>
        <w:rPr>
          <w:rFonts w:eastAsia="Aptos"/>
          <w:iCs w:val="0"/>
        </w:rPr>
      </w:pPr>
      <w:r w:rsidRPr="007E08F7">
        <w:rPr>
          <w:rFonts w:eastAsia="Aptos"/>
          <w:iCs w:val="0"/>
        </w:rPr>
        <w:t xml:space="preserve">Ukierunkowanie tematyczne </w:t>
      </w:r>
      <w:r w:rsidR="0024620F" w:rsidRPr="007E08F7">
        <w:rPr>
          <w:rFonts w:eastAsia="Aptos"/>
          <w:iCs w:val="0"/>
        </w:rPr>
        <w:t xml:space="preserve">CO 4.2 </w:t>
      </w:r>
      <w:r w:rsidR="0024620F" w:rsidRPr="007E08F7">
        <w:rPr>
          <w:rFonts w:eastAsia="Aptos"/>
          <w:iCs w:val="0"/>
        </w:rPr>
        <w:br/>
      </w:r>
      <w:r w:rsidRPr="007E08F7">
        <w:rPr>
          <w:rFonts w:eastAsia="Aptos"/>
          <w:iCs w:val="0"/>
        </w:rPr>
        <w:t>(kluczowe kierunki interwencji i działania)</w:t>
      </w:r>
    </w:p>
    <w:p w14:paraId="502B9EFD" w14:textId="77777777" w:rsidR="0085124A" w:rsidRPr="007E08F7" w:rsidRDefault="0085124A" w:rsidP="0085124A">
      <w:pPr>
        <w:spacing w:before="120" w:after="120" w:line="288" w:lineRule="auto"/>
        <w:rPr>
          <w:rFonts w:eastAsia="Aptos" w:cs="Aptos"/>
          <w:kern w:val="0"/>
          <w:u w:val="single"/>
          <w14:ligatures w14:val="none"/>
        </w:rPr>
      </w:pPr>
      <w:r w:rsidRPr="007E08F7">
        <w:rPr>
          <w:rFonts w:eastAsia="Aptos"/>
          <w:b/>
          <w:bCs/>
          <w:kern w:val="0"/>
          <w14:ligatures w14:val="none"/>
        </w:rPr>
        <w:t>4.2.1</w:t>
      </w:r>
      <w:r w:rsidRPr="007E08F7">
        <w:rPr>
          <w:rFonts w:eastAsia="Aptos"/>
          <w:kern w:val="0"/>
          <w14:ligatures w14:val="none"/>
        </w:rPr>
        <w:t xml:space="preserve"> </w:t>
      </w:r>
      <w:r w:rsidRPr="007E08F7">
        <w:rPr>
          <w:rFonts w:eastAsia="Aptos"/>
          <w:kern w:val="0"/>
          <w14:ligatures w14:val="none"/>
        </w:rPr>
        <w:br/>
        <w:t>Budowanie otwartego i przyjaznego regionu zdolnego do przyciągania oraz trwałej integracji nowych mieszkańców.</w:t>
      </w:r>
    </w:p>
    <w:p w14:paraId="347F21BC" w14:textId="77777777" w:rsidR="0085124A" w:rsidRPr="007E08F7" w:rsidRDefault="0085124A" w:rsidP="0085124A">
      <w:pPr>
        <w:spacing w:before="120" w:after="120" w:line="288" w:lineRule="auto"/>
        <w:rPr>
          <w:rFonts w:eastAsia="Aptos" w:cs="Aptos"/>
          <w:kern w:val="0"/>
          <w14:ligatures w14:val="none"/>
        </w:rPr>
      </w:pPr>
      <w:r w:rsidRPr="007E08F7">
        <w:rPr>
          <w:rFonts w:eastAsia="Aptos" w:cs="Aptos"/>
          <w:b/>
          <w:bCs/>
          <w:kern w:val="0"/>
          <w14:ligatures w14:val="none"/>
        </w:rPr>
        <w:t>4.2.2</w:t>
      </w:r>
      <w:r w:rsidRPr="007E08F7">
        <w:rPr>
          <w:rFonts w:eastAsia="Aptos"/>
          <w:kern w:val="0"/>
          <w14:ligatures w14:val="none"/>
        </w:rPr>
        <w:br/>
      </w:r>
      <w:r w:rsidRPr="007E08F7">
        <w:rPr>
          <w:rFonts w:eastAsia="Aptos" w:cs="Aptos"/>
          <w:kern w:val="0"/>
          <w14:ligatures w14:val="none"/>
        </w:rPr>
        <w:t>Kształtowanie dostępnego i adekwatnego do potrzeb zasobu mieszkaniowego sprzyjającego trwałemu osiedlaniu się mieszkańców.</w:t>
      </w:r>
    </w:p>
    <w:p w14:paraId="0C3DEA43" w14:textId="77777777" w:rsidR="0085124A" w:rsidRPr="007E08F7" w:rsidRDefault="0085124A" w:rsidP="0085124A">
      <w:pPr>
        <w:spacing w:before="120" w:after="120" w:line="288" w:lineRule="auto"/>
        <w:rPr>
          <w:rFonts w:eastAsia="Aptos" w:cs="Aptos"/>
          <w:kern w:val="0"/>
          <w14:ligatures w14:val="none"/>
        </w:rPr>
      </w:pPr>
      <w:r w:rsidRPr="007E08F7">
        <w:rPr>
          <w:rFonts w:eastAsia="Aptos" w:cs="Aptos"/>
          <w:b/>
          <w:bCs/>
          <w:kern w:val="0"/>
          <w14:ligatures w14:val="none"/>
        </w:rPr>
        <w:t>4.2.3</w:t>
      </w:r>
      <w:r w:rsidRPr="007E08F7">
        <w:rPr>
          <w:rFonts w:eastAsia="Aptos" w:cs="Aptos"/>
          <w:kern w:val="0"/>
          <w14:ligatures w14:val="none"/>
        </w:rPr>
        <w:br/>
        <w:t>Rozwój form i miejsc opieki nad dziećmi do lat 3.</w:t>
      </w:r>
    </w:p>
    <w:p w14:paraId="3E50D253" w14:textId="4598A45A" w:rsidR="0085124A" w:rsidRPr="007E08F7" w:rsidRDefault="0085124A" w:rsidP="0086073D">
      <w:pPr>
        <w:pStyle w:val="Nagwek4"/>
        <w:rPr>
          <w:rFonts w:eastAsia="Aptos"/>
          <w:iCs w:val="0"/>
        </w:rPr>
      </w:pPr>
      <w:r w:rsidRPr="007E08F7">
        <w:rPr>
          <w:rFonts w:eastAsia="Aptos"/>
          <w:iCs w:val="0"/>
        </w:rPr>
        <w:t>Ukierunkowanie terytorialne</w:t>
      </w:r>
      <w:r w:rsidR="0024620F" w:rsidRPr="007E08F7">
        <w:rPr>
          <w:rFonts w:eastAsia="Aptos"/>
          <w:iCs w:val="0"/>
        </w:rPr>
        <w:t xml:space="preserve"> CO 4.2</w:t>
      </w:r>
    </w:p>
    <w:p w14:paraId="3DA186A8" w14:textId="77777777" w:rsidR="0085124A" w:rsidRPr="007E08F7" w:rsidRDefault="0085124A" w:rsidP="0085124A">
      <w:pPr>
        <w:spacing w:before="120" w:after="120" w:line="288" w:lineRule="auto"/>
        <w:rPr>
          <w:rFonts w:eastAsia="Aptos" w:cs="Aptos"/>
          <w:kern w:val="0"/>
          <w14:ligatures w14:val="none"/>
        </w:rPr>
      </w:pPr>
      <w:r w:rsidRPr="007E08F7">
        <w:rPr>
          <w:rFonts w:eastAsia="Aptos" w:cs="Aptos"/>
          <w:kern w:val="0"/>
          <w14:ligatures w14:val="none"/>
        </w:rPr>
        <w:t>Całe województwo.</w:t>
      </w:r>
    </w:p>
    <w:p w14:paraId="78B79FF6" w14:textId="3687844C" w:rsidR="0085124A" w:rsidRPr="007E08F7" w:rsidRDefault="0085124A" w:rsidP="0085124A">
      <w:pPr>
        <w:spacing w:before="120" w:after="120" w:line="288" w:lineRule="auto"/>
        <w:rPr>
          <w:rFonts w:eastAsia="Aptos" w:cs="Aptos"/>
          <w:kern w:val="0"/>
          <w14:ligatures w14:val="none"/>
        </w:rPr>
      </w:pPr>
      <w:r w:rsidRPr="007E08F7">
        <w:rPr>
          <w:rFonts w:eastAsia="Aptos" w:cs="Aptos"/>
          <w:kern w:val="0"/>
          <w14:ligatures w14:val="none"/>
        </w:rPr>
        <w:lastRenderedPageBreak/>
        <w:t>W zakresie działań służących rozwojowi form i miejsc opieki nad najmłodszymi dziećmi – koncentracja wsparcia na obszarach o ograniczonej dostępności do usług opieki nad</w:t>
      </w:r>
      <w:r w:rsidR="00ED576F" w:rsidRPr="007E08F7">
        <w:rPr>
          <w:rFonts w:eastAsia="Aptos" w:cs="Aptos"/>
          <w:kern w:val="0"/>
          <w14:ligatures w14:val="none"/>
        </w:rPr>
        <w:t> </w:t>
      </w:r>
      <w:r w:rsidRPr="007E08F7">
        <w:rPr>
          <w:rFonts w:eastAsia="Aptos" w:cs="Aptos"/>
          <w:kern w:val="0"/>
          <w14:ligatures w14:val="none"/>
        </w:rPr>
        <w:t xml:space="preserve">dziećmi do lat 3. </w:t>
      </w:r>
    </w:p>
    <w:p w14:paraId="3780A4C4" w14:textId="0FBC4BED" w:rsidR="0085124A" w:rsidRPr="007E08F7" w:rsidRDefault="0085124A" w:rsidP="0086073D">
      <w:pPr>
        <w:pStyle w:val="Nagwek4"/>
        <w:rPr>
          <w:rFonts w:eastAsia="Aptos"/>
          <w:iCs w:val="0"/>
        </w:rPr>
      </w:pPr>
      <w:r w:rsidRPr="007E08F7">
        <w:rPr>
          <w:rFonts w:eastAsia="Aptos"/>
          <w:iCs w:val="0"/>
        </w:rPr>
        <w:t>Oczekiwane rezultaty</w:t>
      </w:r>
      <w:r w:rsidR="0024620F" w:rsidRPr="007E08F7">
        <w:rPr>
          <w:rFonts w:eastAsia="Aptos"/>
          <w:iCs w:val="0"/>
        </w:rPr>
        <w:t xml:space="preserve"> CO 4.2</w:t>
      </w:r>
    </w:p>
    <w:p w14:paraId="5D3DCB8B" w14:textId="77777777" w:rsidR="0085124A" w:rsidRPr="007E08F7" w:rsidRDefault="0085124A">
      <w:pPr>
        <w:numPr>
          <w:ilvl w:val="0"/>
          <w:numId w:val="23"/>
        </w:numPr>
        <w:spacing w:before="120" w:after="120" w:line="288" w:lineRule="auto"/>
        <w:rPr>
          <w:rFonts w:eastAsia="Aptos" w:cs="Aptos"/>
          <w:kern w:val="0"/>
          <w14:ligatures w14:val="none"/>
        </w:rPr>
      </w:pPr>
      <w:r w:rsidRPr="007E08F7">
        <w:rPr>
          <w:rFonts w:eastAsia="Aptos" w:cs="Aptos"/>
          <w:kern w:val="0"/>
          <w14:ligatures w14:val="none"/>
        </w:rPr>
        <w:t>Rosnący</w:t>
      </w:r>
      <w:r w:rsidRPr="007E08F7">
        <w:rPr>
          <w:rFonts w:eastAsia="Aptos" w:cs="Times New Roman"/>
          <w:kern w:val="0"/>
          <w14:ligatures w14:val="none"/>
        </w:rPr>
        <w:t xml:space="preserve"> </w:t>
      </w:r>
      <w:r w:rsidRPr="007E08F7">
        <w:rPr>
          <w:rFonts w:eastAsia="Aptos" w:cs="Aptos"/>
          <w:kern w:val="0"/>
          <w14:ligatures w14:val="none"/>
        </w:rPr>
        <w:t>wkład migracji w rozwój społeczny i gospodarczy regionu, w tym skuteczna integracja nowych mieszkańców z regionem.</w:t>
      </w:r>
    </w:p>
    <w:p w14:paraId="26B67342" w14:textId="77777777" w:rsidR="0085124A" w:rsidRPr="007E08F7" w:rsidRDefault="0085124A">
      <w:pPr>
        <w:numPr>
          <w:ilvl w:val="0"/>
          <w:numId w:val="23"/>
        </w:numPr>
        <w:spacing w:before="120" w:after="120" w:line="288" w:lineRule="auto"/>
        <w:rPr>
          <w:rFonts w:eastAsia="Aptos" w:cs="Aptos"/>
          <w:kern w:val="0"/>
          <w14:ligatures w14:val="none"/>
        </w:rPr>
      </w:pPr>
      <w:r w:rsidRPr="007E08F7">
        <w:rPr>
          <w:rFonts w:eastAsia="Aptos" w:cs="Aptos"/>
          <w:kern w:val="0"/>
          <w14:ligatures w14:val="none"/>
        </w:rPr>
        <w:t>Wzrost dostępności mieszkań.</w:t>
      </w:r>
    </w:p>
    <w:p w14:paraId="407063B3" w14:textId="77777777" w:rsidR="0085124A" w:rsidRPr="007E08F7" w:rsidRDefault="0085124A">
      <w:pPr>
        <w:numPr>
          <w:ilvl w:val="0"/>
          <w:numId w:val="23"/>
        </w:numPr>
        <w:spacing w:before="120" w:after="120" w:line="288" w:lineRule="auto"/>
        <w:rPr>
          <w:rFonts w:eastAsia="Aptos" w:cs="Aptos"/>
          <w:kern w:val="0"/>
          <w14:ligatures w14:val="none"/>
        </w:rPr>
      </w:pPr>
      <w:r w:rsidRPr="007E08F7">
        <w:rPr>
          <w:rFonts w:eastAsia="Aptos" w:cs="Aptos"/>
          <w:kern w:val="0"/>
          <w14:ligatures w14:val="none"/>
        </w:rPr>
        <w:t xml:space="preserve">Zwiększenie dostępności opieki nad dziećmi do lat 3. </w:t>
      </w:r>
    </w:p>
    <w:p w14:paraId="32AD90C3" w14:textId="45B97A52" w:rsidR="0085124A" w:rsidRPr="007E08F7" w:rsidRDefault="0085124A" w:rsidP="00ED576F">
      <w:pPr>
        <w:pStyle w:val="Nagwek4"/>
        <w:spacing w:before="360"/>
        <w:rPr>
          <w:rFonts w:eastAsia="Aptos"/>
          <w:iCs w:val="0"/>
        </w:rPr>
      </w:pPr>
      <w:r w:rsidRPr="007E08F7">
        <w:rPr>
          <w:rFonts w:eastAsia="Aptos"/>
          <w:iCs w:val="0"/>
        </w:rPr>
        <w:t xml:space="preserve">Wskaźniki </w:t>
      </w:r>
      <w:r w:rsidR="0024620F" w:rsidRPr="007E08F7">
        <w:rPr>
          <w:rFonts w:eastAsia="Aptos"/>
          <w:iCs w:val="0"/>
        </w:rPr>
        <w:t>CO 4.2</w:t>
      </w:r>
    </w:p>
    <w:tbl>
      <w:tblPr>
        <w:tblStyle w:val="Tabela-Siatka15"/>
        <w:tblW w:w="4999" w:type="pct"/>
        <w:tblLook w:val="01E0" w:firstRow="1" w:lastRow="1" w:firstColumn="1" w:lastColumn="1" w:noHBand="0" w:noVBand="0"/>
      </w:tblPr>
      <w:tblGrid>
        <w:gridCol w:w="4248"/>
        <w:gridCol w:w="1277"/>
        <w:gridCol w:w="1819"/>
        <w:gridCol w:w="1716"/>
      </w:tblGrid>
      <w:tr w:rsidR="0082344F" w:rsidRPr="007E08F7" w14:paraId="51414127" w14:textId="77777777" w:rsidTr="00ED576F">
        <w:trPr>
          <w:tblHeader/>
        </w:trPr>
        <w:tc>
          <w:tcPr>
            <w:tcW w:w="2344" w:type="pct"/>
            <w:tcBorders>
              <w:right w:val="single" w:sz="4" w:space="0" w:color="FFFFFF" w:themeColor="background1"/>
            </w:tcBorders>
            <w:shd w:val="clear" w:color="auto" w:fill="153D63" w:themeFill="text2" w:themeFillTint="E6"/>
            <w:vAlign w:val="center"/>
          </w:tcPr>
          <w:p w14:paraId="40A4D2A5" w14:textId="77777777" w:rsidR="0082344F" w:rsidRPr="007E08F7" w:rsidRDefault="0082344F" w:rsidP="003D2CB6">
            <w:pPr>
              <w:keepNext/>
              <w:spacing w:line="259" w:lineRule="auto"/>
              <w:rPr>
                <w:rFonts w:eastAsia="Aptos"/>
                <w:b/>
                <w:color w:val="FFFFFF" w:themeColor="background1"/>
              </w:rPr>
            </w:pPr>
            <w:r w:rsidRPr="007E08F7">
              <w:rPr>
                <w:rFonts w:eastAsia="Aptos"/>
                <w:b/>
                <w:color w:val="FFFFFF" w:themeColor="background1"/>
              </w:rPr>
              <w:t>Nazwa</w:t>
            </w:r>
          </w:p>
        </w:tc>
        <w:tc>
          <w:tcPr>
            <w:tcW w:w="705" w:type="pct"/>
            <w:tcBorders>
              <w:left w:val="single" w:sz="4" w:space="0" w:color="FFFFFF" w:themeColor="background1"/>
              <w:right w:val="single" w:sz="4" w:space="0" w:color="FFFFFF" w:themeColor="background1"/>
            </w:tcBorders>
            <w:shd w:val="clear" w:color="auto" w:fill="153D63" w:themeFill="text2" w:themeFillTint="E6"/>
            <w:vAlign w:val="center"/>
          </w:tcPr>
          <w:p w14:paraId="0E31E9D9" w14:textId="27317669" w:rsidR="0082344F" w:rsidRPr="007E08F7" w:rsidRDefault="0082344F" w:rsidP="003D2CB6">
            <w:pPr>
              <w:spacing w:line="259" w:lineRule="auto"/>
              <w:rPr>
                <w:rFonts w:eastAsia="Aptos"/>
                <w:b/>
                <w:color w:val="FFFFFF" w:themeColor="background1"/>
              </w:rPr>
            </w:pPr>
            <w:r w:rsidRPr="007E08F7">
              <w:rPr>
                <w:rFonts w:eastAsia="Aptos"/>
                <w:b/>
                <w:color w:val="FFFFFF" w:themeColor="background1"/>
              </w:rPr>
              <w:t>Wartość</w:t>
            </w:r>
            <w:r w:rsidR="00ED576F" w:rsidRPr="007E08F7">
              <w:rPr>
                <w:rFonts w:eastAsia="Aptos"/>
                <w:b/>
                <w:color w:val="FFFFFF" w:themeColor="background1"/>
              </w:rPr>
              <w:t xml:space="preserve"> </w:t>
            </w:r>
            <w:r w:rsidRPr="007E08F7">
              <w:rPr>
                <w:rFonts w:eastAsia="Aptos"/>
                <w:b/>
                <w:color w:val="FFFFFF" w:themeColor="background1"/>
              </w:rPr>
              <w:br/>
              <w:t>bazowa</w:t>
            </w:r>
          </w:p>
        </w:tc>
        <w:tc>
          <w:tcPr>
            <w:tcW w:w="1004" w:type="pct"/>
            <w:tcBorders>
              <w:left w:val="single" w:sz="4" w:space="0" w:color="FFFFFF" w:themeColor="background1"/>
              <w:right w:val="single" w:sz="4" w:space="0" w:color="FFFFFF" w:themeColor="background1"/>
            </w:tcBorders>
            <w:shd w:val="clear" w:color="auto" w:fill="153D63" w:themeFill="text2" w:themeFillTint="E6"/>
            <w:vAlign w:val="center"/>
          </w:tcPr>
          <w:p w14:paraId="2BE4DE82" w14:textId="77777777" w:rsidR="0082344F" w:rsidRPr="007E08F7" w:rsidRDefault="0082344F" w:rsidP="003D2CB6">
            <w:pPr>
              <w:spacing w:line="259" w:lineRule="auto"/>
              <w:rPr>
                <w:rFonts w:eastAsia="Aptos"/>
                <w:b/>
                <w:color w:val="FFFFFF" w:themeColor="background1"/>
              </w:rPr>
            </w:pPr>
            <w:r w:rsidRPr="007E08F7">
              <w:rPr>
                <w:rFonts w:eastAsia="Aptos"/>
                <w:b/>
                <w:color w:val="FFFFFF" w:themeColor="background1"/>
              </w:rPr>
              <w:t>Wartość docelowa</w:t>
            </w:r>
          </w:p>
        </w:tc>
        <w:tc>
          <w:tcPr>
            <w:tcW w:w="947" w:type="pct"/>
            <w:tcBorders>
              <w:left w:val="single" w:sz="4" w:space="0" w:color="FFFFFF" w:themeColor="background1"/>
            </w:tcBorders>
            <w:shd w:val="clear" w:color="auto" w:fill="153D63" w:themeFill="text2" w:themeFillTint="E6"/>
            <w:vAlign w:val="center"/>
          </w:tcPr>
          <w:p w14:paraId="0638EF4E" w14:textId="77777777" w:rsidR="0082344F" w:rsidRPr="007E08F7" w:rsidRDefault="0082344F" w:rsidP="003D2CB6">
            <w:pPr>
              <w:spacing w:line="259" w:lineRule="auto"/>
              <w:rPr>
                <w:rFonts w:eastAsia="Aptos"/>
                <w:b/>
                <w:color w:val="FFFFFF" w:themeColor="background1"/>
              </w:rPr>
            </w:pPr>
            <w:r w:rsidRPr="007E08F7">
              <w:rPr>
                <w:rFonts w:eastAsia="Aptos"/>
                <w:b/>
                <w:color w:val="FFFFFF" w:themeColor="background1"/>
              </w:rPr>
              <w:t>Źródło danych</w:t>
            </w:r>
          </w:p>
        </w:tc>
      </w:tr>
      <w:tr w:rsidR="0082344F" w:rsidRPr="007E08F7" w14:paraId="2AF9F7E0" w14:textId="77777777" w:rsidTr="00ED576F">
        <w:trPr>
          <w:trHeight w:val="350"/>
        </w:trPr>
        <w:tc>
          <w:tcPr>
            <w:tcW w:w="2344" w:type="pct"/>
            <w:vAlign w:val="center"/>
          </w:tcPr>
          <w:p w14:paraId="4F6D4963" w14:textId="1042F5F7" w:rsidR="0082344F" w:rsidRPr="007E08F7" w:rsidRDefault="0082344F" w:rsidP="00ED576F">
            <w:pPr>
              <w:spacing w:after="120" w:line="276" w:lineRule="auto"/>
              <w:rPr>
                <w:rFonts w:eastAsia="Aptos"/>
                <w:bCs/>
              </w:rPr>
            </w:pPr>
            <w:r w:rsidRPr="007E08F7">
              <w:rPr>
                <w:rFonts w:eastAsia="Aptos"/>
                <w:bCs/>
              </w:rPr>
              <w:t>Odsetek mieszkań komunalnych i</w:t>
            </w:r>
            <w:r w:rsidR="00ED576F" w:rsidRPr="007E08F7">
              <w:rPr>
                <w:rFonts w:eastAsia="Aptos"/>
                <w:bCs/>
              </w:rPr>
              <w:t> </w:t>
            </w:r>
            <w:r w:rsidRPr="007E08F7">
              <w:rPr>
                <w:rFonts w:eastAsia="Aptos"/>
                <w:bCs/>
              </w:rPr>
              <w:t>społecznych czynszowych w</w:t>
            </w:r>
            <w:r w:rsidR="00ED576F" w:rsidRPr="007E08F7">
              <w:rPr>
                <w:rFonts w:eastAsia="Aptos"/>
                <w:bCs/>
              </w:rPr>
              <w:t> </w:t>
            </w:r>
            <w:r w:rsidRPr="007E08F7">
              <w:rPr>
                <w:rFonts w:eastAsia="Aptos"/>
                <w:bCs/>
              </w:rPr>
              <w:t>liczbie</w:t>
            </w:r>
            <w:r w:rsidR="00ED576F" w:rsidRPr="007E08F7">
              <w:rPr>
                <w:rFonts w:eastAsia="Aptos"/>
                <w:bCs/>
              </w:rPr>
              <w:t> </w:t>
            </w:r>
            <w:r w:rsidRPr="007E08F7">
              <w:rPr>
                <w:rFonts w:eastAsia="Aptos"/>
                <w:bCs/>
              </w:rPr>
              <w:t>mieszkań ogółem</w:t>
            </w:r>
          </w:p>
        </w:tc>
        <w:tc>
          <w:tcPr>
            <w:tcW w:w="705" w:type="pct"/>
            <w:vAlign w:val="center"/>
          </w:tcPr>
          <w:p w14:paraId="2EA53B19" w14:textId="77777777" w:rsidR="0082344F" w:rsidRPr="007E08F7" w:rsidRDefault="0082344F" w:rsidP="00ED576F">
            <w:pPr>
              <w:spacing w:after="120" w:line="276" w:lineRule="auto"/>
              <w:rPr>
                <w:rFonts w:eastAsia="Aptos"/>
              </w:rPr>
            </w:pPr>
            <w:r w:rsidRPr="007E08F7">
              <w:rPr>
                <w:rFonts w:eastAsia="Aptos"/>
              </w:rPr>
              <w:t xml:space="preserve">5,6% </w:t>
            </w:r>
            <w:r w:rsidRPr="007E08F7">
              <w:rPr>
                <w:rFonts w:eastAsia="Aptos"/>
              </w:rPr>
              <w:br/>
              <w:t>(2024)</w:t>
            </w:r>
          </w:p>
        </w:tc>
        <w:tc>
          <w:tcPr>
            <w:tcW w:w="1004" w:type="pct"/>
            <w:vAlign w:val="center"/>
          </w:tcPr>
          <w:p w14:paraId="13D909A6" w14:textId="77777777" w:rsidR="0082344F" w:rsidRPr="007E08F7" w:rsidRDefault="0082344F" w:rsidP="00ED576F">
            <w:pPr>
              <w:spacing w:after="120" w:line="276" w:lineRule="auto"/>
              <w:rPr>
                <w:rFonts w:eastAsia="Aptos"/>
              </w:rPr>
            </w:pPr>
            <w:r w:rsidRPr="007E08F7">
              <w:rPr>
                <w:rFonts w:eastAsia="Aptos"/>
              </w:rPr>
              <w:t>do uzupełnienia</w:t>
            </w:r>
          </w:p>
        </w:tc>
        <w:tc>
          <w:tcPr>
            <w:tcW w:w="947" w:type="pct"/>
            <w:vAlign w:val="center"/>
          </w:tcPr>
          <w:p w14:paraId="137C84A9" w14:textId="5C97292D" w:rsidR="0082344F" w:rsidRPr="007E08F7" w:rsidRDefault="0082344F" w:rsidP="00ED576F">
            <w:pPr>
              <w:spacing w:after="120" w:line="276" w:lineRule="auto"/>
              <w:rPr>
                <w:rFonts w:eastAsia="Aptos"/>
              </w:rPr>
            </w:pPr>
            <w:r w:rsidRPr="007E08F7">
              <w:rPr>
                <w:rFonts w:eastAsia="Aptos"/>
              </w:rPr>
              <w:t>Obliczenia własne na</w:t>
            </w:r>
            <w:r w:rsidR="00ED576F" w:rsidRPr="007E08F7">
              <w:rPr>
                <w:rFonts w:eastAsia="Aptos"/>
              </w:rPr>
              <w:t> </w:t>
            </w:r>
            <w:r w:rsidRPr="007E08F7">
              <w:rPr>
                <w:rFonts w:eastAsia="Aptos"/>
              </w:rPr>
              <w:t>podstawie danych GUS i</w:t>
            </w:r>
            <w:r w:rsidR="00ED576F" w:rsidRPr="007E08F7">
              <w:rPr>
                <w:rFonts w:eastAsia="Aptos"/>
              </w:rPr>
              <w:t> </w:t>
            </w:r>
            <w:r w:rsidRPr="007E08F7">
              <w:rPr>
                <w:rFonts w:eastAsia="Aptos"/>
              </w:rPr>
              <w:t>Eurostat</w:t>
            </w:r>
          </w:p>
        </w:tc>
      </w:tr>
      <w:tr w:rsidR="0082344F" w:rsidRPr="007E08F7" w14:paraId="48AEB1FF" w14:textId="77777777" w:rsidTr="00ED576F">
        <w:trPr>
          <w:trHeight w:val="350"/>
        </w:trPr>
        <w:tc>
          <w:tcPr>
            <w:tcW w:w="2344" w:type="pct"/>
            <w:vAlign w:val="center"/>
          </w:tcPr>
          <w:p w14:paraId="52A713DB" w14:textId="77777777" w:rsidR="0082344F" w:rsidRPr="007E08F7" w:rsidRDefault="0082344F" w:rsidP="00ED576F">
            <w:pPr>
              <w:spacing w:after="120" w:line="276" w:lineRule="auto"/>
              <w:rPr>
                <w:rFonts w:eastAsia="Aptos"/>
                <w:bCs/>
              </w:rPr>
            </w:pPr>
            <w:r w:rsidRPr="007E08F7">
              <w:rPr>
                <w:rFonts w:eastAsia="Aptos"/>
                <w:bCs/>
              </w:rPr>
              <w:t>Odsetek gospodarstw domowych przeciążonych kosztami mieszkaniowymi (&gt;40% dochodu)</w:t>
            </w:r>
          </w:p>
        </w:tc>
        <w:tc>
          <w:tcPr>
            <w:tcW w:w="705" w:type="pct"/>
            <w:vAlign w:val="center"/>
          </w:tcPr>
          <w:p w14:paraId="6EB19D56" w14:textId="77777777" w:rsidR="0082344F" w:rsidRPr="007E08F7" w:rsidRDefault="0082344F" w:rsidP="00ED576F">
            <w:pPr>
              <w:spacing w:after="120" w:line="276" w:lineRule="auto"/>
              <w:rPr>
                <w:rFonts w:eastAsia="Aptos"/>
              </w:rPr>
            </w:pPr>
            <w:r w:rsidRPr="007E08F7">
              <w:rPr>
                <w:rFonts w:eastAsia="Aptos"/>
              </w:rPr>
              <w:t xml:space="preserve">5,3% </w:t>
            </w:r>
            <w:r w:rsidRPr="007E08F7">
              <w:rPr>
                <w:rFonts w:eastAsia="Aptos"/>
              </w:rPr>
              <w:br/>
              <w:t>(2025)</w:t>
            </w:r>
          </w:p>
        </w:tc>
        <w:tc>
          <w:tcPr>
            <w:tcW w:w="1004" w:type="pct"/>
            <w:vAlign w:val="center"/>
          </w:tcPr>
          <w:p w14:paraId="2EEDD1D9" w14:textId="77777777" w:rsidR="0082344F" w:rsidRPr="007E08F7" w:rsidRDefault="0082344F" w:rsidP="00ED576F">
            <w:pPr>
              <w:spacing w:after="120" w:line="276" w:lineRule="auto"/>
              <w:rPr>
                <w:rFonts w:eastAsia="Aptos"/>
              </w:rPr>
            </w:pPr>
            <w:r w:rsidRPr="007E08F7">
              <w:rPr>
                <w:rFonts w:eastAsia="Aptos"/>
              </w:rPr>
              <w:t>do uzupełnienia</w:t>
            </w:r>
          </w:p>
        </w:tc>
        <w:tc>
          <w:tcPr>
            <w:tcW w:w="947" w:type="pct"/>
            <w:vAlign w:val="center"/>
          </w:tcPr>
          <w:p w14:paraId="0D9C8533" w14:textId="6A200DA6" w:rsidR="0082344F" w:rsidRPr="007E08F7" w:rsidRDefault="0082344F" w:rsidP="00ED576F">
            <w:pPr>
              <w:spacing w:after="120" w:line="276" w:lineRule="auto"/>
              <w:rPr>
                <w:rFonts w:eastAsia="Aptos"/>
              </w:rPr>
            </w:pPr>
            <w:r w:rsidRPr="007E08F7">
              <w:rPr>
                <w:rFonts w:eastAsia="Aptos"/>
              </w:rPr>
              <w:t>Obliczenia własne na</w:t>
            </w:r>
            <w:r w:rsidR="00ED576F" w:rsidRPr="007E08F7">
              <w:rPr>
                <w:rFonts w:eastAsia="Aptos"/>
              </w:rPr>
              <w:t> </w:t>
            </w:r>
            <w:r w:rsidRPr="007E08F7">
              <w:rPr>
                <w:rFonts w:eastAsia="Aptos"/>
              </w:rPr>
              <w:t>podstawie danych GUS i</w:t>
            </w:r>
            <w:r w:rsidR="00ED576F" w:rsidRPr="007E08F7">
              <w:rPr>
                <w:rFonts w:eastAsia="Aptos"/>
              </w:rPr>
              <w:t> </w:t>
            </w:r>
            <w:r w:rsidRPr="007E08F7">
              <w:rPr>
                <w:rFonts w:eastAsia="Aptos"/>
              </w:rPr>
              <w:t>Eurostat</w:t>
            </w:r>
          </w:p>
        </w:tc>
      </w:tr>
      <w:tr w:rsidR="0082344F" w:rsidRPr="007E08F7" w14:paraId="690EED97" w14:textId="77777777" w:rsidTr="00ED576F">
        <w:trPr>
          <w:trHeight w:val="1140"/>
        </w:trPr>
        <w:tc>
          <w:tcPr>
            <w:tcW w:w="2344" w:type="pct"/>
            <w:vAlign w:val="center"/>
          </w:tcPr>
          <w:p w14:paraId="70EF4D83" w14:textId="671CB12D" w:rsidR="0082344F" w:rsidRPr="007E08F7" w:rsidRDefault="0082344F" w:rsidP="00ED576F">
            <w:pPr>
              <w:spacing w:after="120" w:line="276" w:lineRule="auto"/>
              <w:rPr>
                <w:rFonts w:eastAsia="Aptos"/>
              </w:rPr>
            </w:pPr>
            <w:r w:rsidRPr="007E08F7">
              <w:rPr>
                <w:rFonts w:eastAsia="Aptos"/>
              </w:rPr>
              <w:t>Udział cudzoziemców wykonujących</w:t>
            </w:r>
            <w:r w:rsidR="00ED576F" w:rsidRPr="007E08F7">
              <w:rPr>
                <w:rFonts w:eastAsia="Aptos"/>
              </w:rPr>
              <w:t xml:space="preserve"> </w:t>
            </w:r>
            <w:r w:rsidRPr="007E08F7">
              <w:rPr>
                <w:rFonts w:eastAsia="Aptos"/>
              </w:rPr>
              <w:t>pracę w ogólnej liczbie wykonujących pracę</w:t>
            </w:r>
          </w:p>
        </w:tc>
        <w:tc>
          <w:tcPr>
            <w:tcW w:w="705" w:type="pct"/>
            <w:vAlign w:val="center"/>
          </w:tcPr>
          <w:p w14:paraId="277D9E8A" w14:textId="114BC231" w:rsidR="007B1D4A" w:rsidRPr="007E08F7" w:rsidRDefault="007B1D4A" w:rsidP="00ED576F">
            <w:pPr>
              <w:spacing w:after="120" w:line="276" w:lineRule="auto"/>
              <w:rPr>
                <w:rFonts w:eastAsia="Aptos"/>
              </w:rPr>
            </w:pPr>
            <w:r w:rsidRPr="007E08F7">
              <w:rPr>
                <w:rFonts w:eastAsia="Aptos"/>
              </w:rPr>
              <w:t>7,6%</w:t>
            </w:r>
            <w:r w:rsidR="00ED576F" w:rsidRPr="007E08F7">
              <w:rPr>
                <w:rFonts w:eastAsia="Aptos"/>
              </w:rPr>
              <w:br/>
            </w:r>
            <w:r w:rsidRPr="007E08F7">
              <w:rPr>
                <w:rFonts w:eastAsia="Aptos"/>
              </w:rPr>
              <w:t>(2025)</w:t>
            </w:r>
          </w:p>
        </w:tc>
        <w:tc>
          <w:tcPr>
            <w:tcW w:w="1004" w:type="pct"/>
            <w:vAlign w:val="center"/>
          </w:tcPr>
          <w:p w14:paraId="1937E907" w14:textId="77777777" w:rsidR="0082344F" w:rsidRPr="007E08F7" w:rsidRDefault="0082344F" w:rsidP="00ED576F">
            <w:pPr>
              <w:spacing w:after="120" w:line="276" w:lineRule="auto"/>
              <w:rPr>
                <w:rFonts w:eastAsia="Aptos"/>
              </w:rPr>
            </w:pPr>
            <w:r w:rsidRPr="007E08F7">
              <w:rPr>
                <w:rFonts w:eastAsia="Aptos"/>
              </w:rPr>
              <w:t>do uzupełnienia</w:t>
            </w:r>
          </w:p>
        </w:tc>
        <w:tc>
          <w:tcPr>
            <w:tcW w:w="947" w:type="pct"/>
            <w:vAlign w:val="center"/>
          </w:tcPr>
          <w:p w14:paraId="10F383AB" w14:textId="02E4C5F3" w:rsidR="0082344F" w:rsidRPr="007E08F7" w:rsidRDefault="0082344F" w:rsidP="00ED576F">
            <w:pPr>
              <w:spacing w:after="120" w:line="276" w:lineRule="auto"/>
              <w:rPr>
                <w:rFonts w:eastAsia="Aptos"/>
              </w:rPr>
            </w:pPr>
            <w:r w:rsidRPr="007E08F7">
              <w:rPr>
                <w:rFonts w:eastAsia="Aptos"/>
              </w:rPr>
              <w:t>Obliczenia własne na</w:t>
            </w:r>
            <w:r w:rsidR="00ED576F" w:rsidRPr="007E08F7">
              <w:rPr>
                <w:rFonts w:eastAsia="Aptos"/>
              </w:rPr>
              <w:t> </w:t>
            </w:r>
            <w:r w:rsidRPr="007E08F7">
              <w:rPr>
                <w:rFonts w:eastAsia="Aptos"/>
              </w:rPr>
              <w:t>podstawie danych GUS</w:t>
            </w:r>
          </w:p>
        </w:tc>
      </w:tr>
      <w:tr w:rsidR="0082344F" w:rsidRPr="007E08F7" w14:paraId="18EB9792" w14:textId="77777777" w:rsidTr="00ED576F">
        <w:trPr>
          <w:trHeight w:val="1140"/>
        </w:trPr>
        <w:tc>
          <w:tcPr>
            <w:tcW w:w="2344" w:type="pct"/>
            <w:vAlign w:val="center"/>
          </w:tcPr>
          <w:p w14:paraId="7CBDBC14" w14:textId="77777777" w:rsidR="0082344F" w:rsidRPr="007E08F7" w:rsidRDefault="0082344F" w:rsidP="00ED576F">
            <w:pPr>
              <w:spacing w:after="120" w:line="276" w:lineRule="auto"/>
              <w:rPr>
                <w:rFonts w:eastAsia="Aptos"/>
              </w:rPr>
            </w:pPr>
            <w:r w:rsidRPr="007E08F7">
              <w:rPr>
                <w:rFonts w:eastAsia="Aptos"/>
              </w:rPr>
              <w:t>Dzieci w żłobkach i klubach dziecięcych na 1000 dzieci w wieku do lat 3.</w:t>
            </w:r>
          </w:p>
        </w:tc>
        <w:tc>
          <w:tcPr>
            <w:tcW w:w="705" w:type="pct"/>
            <w:vAlign w:val="center"/>
          </w:tcPr>
          <w:p w14:paraId="16C6E0C7" w14:textId="73B14453" w:rsidR="0082344F" w:rsidRPr="007E08F7" w:rsidRDefault="0082344F" w:rsidP="00ED576F">
            <w:pPr>
              <w:spacing w:after="120" w:line="276" w:lineRule="auto"/>
              <w:rPr>
                <w:rFonts w:eastAsia="Aptos"/>
              </w:rPr>
            </w:pPr>
            <w:r w:rsidRPr="007E08F7">
              <w:rPr>
                <w:rFonts w:eastAsia="Aptos"/>
              </w:rPr>
              <w:t>220,3</w:t>
            </w:r>
            <w:r w:rsidR="00ED576F" w:rsidRPr="007E08F7">
              <w:rPr>
                <w:rFonts w:eastAsia="Aptos"/>
              </w:rPr>
              <w:br/>
            </w:r>
            <w:r w:rsidRPr="007E08F7">
              <w:rPr>
                <w:rFonts w:eastAsia="Aptos"/>
              </w:rPr>
              <w:t>(2025)</w:t>
            </w:r>
          </w:p>
        </w:tc>
        <w:tc>
          <w:tcPr>
            <w:tcW w:w="1004" w:type="pct"/>
            <w:vAlign w:val="center"/>
          </w:tcPr>
          <w:p w14:paraId="66A9EB3D" w14:textId="77777777" w:rsidR="0082344F" w:rsidRPr="007E08F7" w:rsidRDefault="0082344F" w:rsidP="00ED576F">
            <w:pPr>
              <w:spacing w:after="120" w:line="276" w:lineRule="auto"/>
              <w:rPr>
                <w:rFonts w:eastAsia="Aptos"/>
              </w:rPr>
            </w:pPr>
            <w:r w:rsidRPr="007E08F7">
              <w:rPr>
                <w:rFonts w:eastAsia="Aptos"/>
              </w:rPr>
              <w:t>do uzupełnienia</w:t>
            </w:r>
          </w:p>
        </w:tc>
        <w:tc>
          <w:tcPr>
            <w:tcW w:w="947" w:type="pct"/>
            <w:vAlign w:val="center"/>
          </w:tcPr>
          <w:p w14:paraId="1FB25ECD" w14:textId="2EB923CF" w:rsidR="0082344F" w:rsidRPr="007E08F7" w:rsidRDefault="0082344F" w:rsidP="00ED576F">
            <w:pPr>
              <w:spacing w:after="120" w:line="276" w:lineRule="auto"/>
              <w:rPr>
                <w:rFonts w:eastAsia="Aptos"/>
              </w:rPr>
            </w:pPr>
            <w:r w:rsidRPr="007E08F7">
              <w:rPr>
                <w:rFonts w:eastAsia="Aptos"/>
              </w:rPr>
              <w:t>Obliczenia własne na</w:t>
            </w:r>
            <w:r w:rsidR="00ED576F" w:rsidRPr="007E08F7">
              <w:rPr>
                <w:rFonts w:eastAsia="Aptos"/>
              </w:rPr>
              <w:t> </w:t>
            </w:r>
            <w:r w:rsidRPr="007E08F7">
              <w:rPr>
                <w:rFonts w:eastAsia="Aptos"/>
              </w:rPr>
              <w:t>podstawie danych GUS</w:t>
            </w:r>
          </w:p>
        </w:tc>
      </w:tr>
    </w:tbl>
    <w:p w14:paraId="7DB47445" w14:textId="616ADBD3" w:rsidR="0085124A" w:rsidRPr="007E08F7" w:rsidRDefault="0085124A" w:rsidP="00ED576F">
      <w:pPr>
        <w:pStyle w:val="Nagwek4"/>
        <w:spacing w:before="360"/>
        <w:rPr>
          <w:rFonts w:eastAsia="Aptos"/>
          <w:iCs w:val="0"/>
        </w:rPr>
      </w:pPr>
      <w:r w:rsidRPr="007E08F7">
        <w:rPr>
          <w:rFonts w:eastAsia="Aptos"/>
          <w:iCs w:val="0"/>
        </w:rPr>
        <w:t>Postulaty wobec władz centralnych</w:t>
      </w:r>
      <w:r w:rsidR="0024620F" w:rsidRPr="007E08F7">
        <w:rPr>
          <w:rFonts w:eastAsia="Aptos"/>
          <w:iCs w:val="0"/>
        </w:rPr>
        <w:t xml:space="preserve"> CO 4.2</w:t>
      </w:r>
    </w:p>
    <w:p w14:paraId="43790EBB" w14:textId="77777777" w:rsidR="00061B5C" w:rsidRPr="007E08F7" w:rsidRDefault="0085124A">
      <w:pPr>
        <w:numPr>
          <w:ilvl w:val="0"/>
          <w:numId w:val="55"/>
        </w:numPr>
        <w:spacing w:before="120" w:after="120" w:line="288" w:lineRule="auto"/>
        <w:rPr>
          <w:rFonts w:eastAsia="Aptos" w:cs="Aptos"/>
          <w:kern w:val="0"/>
          <w14:ligatures w14:val="none"/>
        </w:rPr>
      </w:pPr>
      <w:r w:rsidRPr="007E08F7">
        <w:rPr>
          <w:rFonts w:eastAsia="Aptos" w:cs="Aptos"/>
          <w:kern w:val="0"/>
          <w14:ligatures w14:val="none"/>
        </w:rPr>
        <w:t>Stworzenie regulacji prawnych skutkujących powierzeniem samorządom województw ustawowych kompetencji w zakresie integracji migrantów.</w:t>
      </w:r>
    </w:p>
    <w:p w14:paraId="6E43B7E0" w14:textId="5A31CC57" w:rsidR="00373076" w:rsidRPr="007E08F7" w:rsidRDefault="0085124A">
      <w:pPr>
        <w:numPr>
          <w:ilvl w:val="0"/>
          <w:numId w:val="55"/>
        </w:numPr>
        <w:spacing w:before="120" w:after="120" w:line="288" w:lineRule="auto"/>
        <w:rPr>
          <w:rFonts w:eastAsia="Aptos" w:cs="Aptos"/>
          <w:kern w:val="0"/>
          <w14:ligatures w14:val="none"/>
        </w:rPr>
      </w:pPr>
      <w:r w:rsidRPr="007E08F7">
        <w:rPr>
          <w:rFonts w:eastAsia="Aptos" w:cs="Aptos"/>
          <w:kern w:val="0"/>
          <w14:ligatures w14:val="none"/>
        </w:rPr>
        <w:t>Usprawnienie procedur związanych z legalizacją pobytu, z jednoczesnym poszanowaniem bezpieczeństwa państwa i ochrony granic</w:t>
      </w:r>
      <w:r w:rsidR="001B3B0E" w:rsidRPr="007E08F7">
        <w:rPr>
          <w:rFonts w:eastAsia="Aptos" w:cs="Aptos"/>
          <w:kern w:val="0"/>
          <w14:ligatures w14:val="none"/>
        </w:rPr>
        <w:t>.</w:t>
      </w:r>
      <w:r w:rsidR="006A0698" w:rsidRPr="007E08F7">
        <w:rPr>
          <w:rFonts w:eastAsia="Aptos" w:cs="Aptos"/>
          <w:kern w:val="0"/>
          <w14:ligatures w14:val="none"/>
        </w:rPr>
        <w:br w:type="page"/>
      </w:r>
    </w:p>
    <w:p w14:paraId="79F83405" w14:textId="46C6042D" w:rsidR="00034C36" w:rsidRPr="007E08F7" w:rsidRDefault="0058281A" w:rsidP="00B64E0B">
      <w:pPr>
        <w:pStyle w:val="Nagwek1"/>
      </w:pPr>
      <w:bookmarkStart w:id="71" w:name="_Toc220493795"/>
      <w:bookmarkStart w:id="72" w:name="_Toc239772098"/>
      <w:r w:rsidRPr="007E08F7">
        <w:lastRenderedPageBreak/>
        <w:t>Model struktury funkcjonalno-przestrzennej</w:t>
      </w:r>
      <w:bookmarkEnd w:id="71"/>
      <w:bookmarkEnd w:id="72"/>
    </w:p>
    <w:p w14:paraId="6BA514EF" w14:textId="4E08A0B6" w:rsidR="00E32496" w:rsidRPr="007E08F7" w:rsidRDefault="00034C36" w:rsidP="002B6024">
      <w:pPr>
        <w:spacing w:before="120" w:after="120" w:line="288" w:lineRule="auto"/>
        <w:rPr>
          <w:rFonts w:asciiTheme="minorHAnsi" w:eastAsia="Aptos" w:hAnsiTheme="minorHAnsi" w:cs="Aptos"/>
          <w:bCs/>
          <w:spacing w:val="4"/>
        </w:rPr>
      </w:pPr>
      <w:r w:rsidRPr="007E08F7">
        <w:rPr>
          <w:rFonts w:asciiTheme="minorHAnsi" w:hAnsiTheme="minorHAnsi" w:cstheme="minorHAnsi"/>
          <w:bCs/>
          <w:spacing w:val="4"/>
        </w:rPr>
        <w:t>Przyjmując</w:t>
      </w:r>
      <w:r w:rsidR="00E32496" w:rsidRPr="007E08F7">
        <w:rPr>
          <w:rFonts w:asciiTheme="minorHAnsi" w:eastAsia="Aptos" w:hAnsiTheme="minorHAnsi" w:cs="Aptos"/>
          <w:bCs/>
          <w:spacing w:val="4"/>
        </w:rPr>
        <w:t xml:space="preserve"> zasadę aktywnego podejścia samorządu województwa do procesu realizacji SRWP oraz uwzględniając aktywną politykę rozwoju prowadzoną przez organy centralne,</w:t>
      </w:r>
      <w:r w:rsidR="00E32496" w:rsidRPr="007E08F7">
        <w:rPr>
          <w:rFonts w:asciiTheme="minorHAnsi" w:eastAsia="Aptos" w:hAnsiTheme="minorHAnsi" w:cs="Aptos"/>
          <w:b/>
          <w:bCs/>
          <w:spacing w:val="4"/>
        </w:rPr>
        <w:t xml:space="preserve"> </w:t>
      </w:r>
      <w:r w:rsidR="00E32496" w:rsidRPr="007E08F7">
        <w:rPr>
          <w:rFonts w:asciiTheme="minorHAnsi" w:eastAsia="Aptos" w:hAnsiTheme="minorHAnsi" w:cs="Aptos"/>
          <w:bCs/>
          <w:spacing w:val="4"/>
        </w:rPr>
        <w:t>należy przyjąć, że optymalny sposób kształtowania struktury funkcjonalno-przestrzennej województwa powinien zmierzać do wykorzystania potencjału wieloośrodkowej struktury sieci osadniczej województwa. Wymaga to jednoczesnego wzmacniania usług publicznych w ośrodkach osadniczych oraz powiązań wewnętrznych regionu, w szczególności spójności sieci transportowej i</w:t>
      </w:r>
      <w:r w:rsidR="002C563C" w:rsidRPr="007E08F7">
        <w:rPr>
          <w:rFonts w:asciiTheme="minorHAnsi" w:eastAsia="Aptos" w:hAnsiTheme="minorHAnsi" w:cs="Aptos"/>
          <w:bCs/>
          <w:spacing w:val="4"/>
        </w:rPr>
        <w:t> </w:t>
      </w:r>
      <w:r w:rsidR="00E32496" w:rsidRPr="007E08F7">
        <w:rPr>
          <w:rFonts w:asciiTheme="minorHAnsi" w:eastAsia="Aptos" w:hAnsiTheme="minorHAnsi" w:cs="Aptos"/>
          <w:bCs/>
          <w:spacing w:val="4"/>
        </w:rPr>
        <w:t>rozwiniętej oferty publicznego transportu zbiorowego, a także integracji regionu i</w:t>
      </w:r>
      <w:r w:rsidR="002C563C" w:rsidRPr="007E08F7">
        <w:rPr>
          <w:rFonts w:asciiTheme="minorHAnsi" w:eastAsia="Aptos" w:hAnsiTheme="minorHAnsi" w:cs="Aptos"/>
          <w:bCs/>
          <w:spacing w:val="4"/>
        </w:rPr>
        <w:t> </w:t>
      </w:r>
      <w:r w:rsidR="00E32496" w:rsidRPr="007E08F7">
        <w:rPr>
          <w:rFonts w:asciiTheme="minorHAnsi" w:eastAsia="Aptos" w:hAnsiTheme="minorHAnsi" w:cs="Aptos"/>
          <w:bCs/>
          <w:spacing w:val="4"/>
        </w:rPr>
        <w:t xml:space="preserve">jego subregionów z otoczeniem zewnętrznym. </w:t>
      </w:r>
    </w:p>
    <w:p w14:paraId="372101C5" w14:textId="71682E95" w:rsidR="00E32496" w:rsidRPr="007E08F7" w:rsidRDefault="00E32496" w:rsidP="002B6024">
      <w:p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Tym samym, modelem obrazującym wymiar przestrzenny prowadzenia polityki regionalnej w perspektywie roku 2035 w aspekcie kształtowania struktury funkcjonalno-przestrzennej województwa jest </w:t>
      </w:r>
      <w:r w:rsidRPr="007E08F7">
        <w:rPr>
          <w:rFonts w:asciiTheme="minorHAnsi" w:eastAsia="Aptos" w:hAnsiTheme="minorHAnsi" w:cs="Aptos"/>
          <w:b/>
          <w:bCs/>
          <w:spacing w:val="4"/>
        </w:rPr>
        <w:t>model zintegrowanego i</w:t>
      </w:r>
      <w:r w:rsidR="002C563C" w:rsidRPr="007E08F7">
        <w:rPr>
          <w:rFonts w:asciiTheme="minorHAnsi" w:eastAsia="Aptos" w:hAnsiTheme="minorHAnsi" w:cs="Aptos"/>
          <w:b/>
          <w:bCs/>
          <w:spacing w:val="4"/>
        </w:rPr>
        <w:t> </w:t>
      </w:r>
      <w:r w:rsidRPr="007E08F7">
        <w:rPr>
          <w:rFonts w:asciiTheme="minorHAnsi" w:eastAsia="Aptos" w:hAnsiTheme="minorHAnsi" w:cs="Aptos"/>
          <w:b/>
          <w:bCs/>
          <w:spacing w:val="4"/>
        </w:rPr>
        <w:t>wieloośrodkowego rozwoju</w:t>
      </w:r>
      <w:r w:rsidRPr="007E08F7">
        <w:rPr>
          <w:rFonts w:asciiTheme="minorHAnsi" w:eastAsia="Aptos" w:hAnsiTheme="minorHAnsi" w:cs="Aptos"/>
          <w:bCs/>
          <w:spacing w:val="4"/>
        </w:rPr>
        <w:t>.</w:t>
      </w:r>
    </w:p>
    <w:p w14:paraId="084DC09B" w14:textId="77777777" w:rsidR="00E32496" w:rsidRPr="007E08F7" w:rsidRDefault="00E32496" w:rsidP="002B6024">
      <w:pPr>
        <w:spacing w:before="120" w:after="120" w:line="288" w:lineRule="auto"/>
        <w:rPr>
          <w:rFonts w:asciiTheme="minorHAnsi" w:eastAsia="Aptos" w:hAnsiTheme="minorHAnsi" w:cs="Aptos"/>
        </w:rPr>
      </w:pPr>
      <w:r w:rsidRPr="007E08F7">
        <w:rPr>
          <w:rFonts w:asciiTheme="minorHAnsi" w:eastAsia="Aptos" w:hAnsiTheme="minorHAnsi" w:cs="Aptos"/>
        </w:rPr>
        <w:t>Model ten stanowi połączenie dwóch komplementarnych założeń:</w:t>
      </w:r>
    </w:p>
    <w:p w14:paraId="29E2AC36" w14:textId="7D2BE4FC" w:rsidR="00E32496" w:rsidRPr="007E08F7" w:rsidRDefault="00E32496">
      <w:pPr>
        <w:numPr>
          <w:ilvl w:val="0"/>
          <w:numId w:val="7"/>
        </w:numPr>
        <w:spacing w:before="120" w:after="120" w:line="288" w:lineRule="auto"/>
        <w:ind w:left="567" w:hanging="425"/>
        <w:rPr>
          <w:rFonts w:asciiTheme="minorHAnsi" w:eastAsia="Aptos" w:hAnsiTheme="minorHAnsi" w:cs="Aptos"/>
        </w:rPr>
      </w:pPr>
      <w:r w:rsidRPr="007E08F7">
        <w:rPr>
          <w:rFonts w:asciiTheme="minorHAnsi" w:eastAsia="Aptos" w:hAnsiTheme="minorHAnsi" w:cs="Aptos"/>
        </w:rPr>
        <w:t>integracji – kształtowanie struktury funkcjonalno-przestrzennej regionu w</w:t>
      </w:r>
      <w:r w:rsidR="002C563C" w:rsidRPr="007E08F7">
        <w:rPr>
          <w:rFonts w:asciiTheme="minorHAnsi" w:eastAsia="Aptos" w:hAnsiTheme="minorHAnsi" w:cs="Aptos"/>
        </w:rPr>
        <w:t> </w:t>
      </w:r>
      <w:r w:rsidRPr="007E08F7">
        <w:rPr>
          <w:rFonts w:asciiTheme="minorHAnsi" w:eastAsia="Aptos" w:hAnsiTheme="minorHAnsi" w:cs="Aptos"/>
        </w:rPr>
        <w:t>powiązaniu z uwarunkowaniami otoczenia zewnętrznego, a zwłaszcza regionów sąsiednich; należeć będą do nich w szczególności powiązania ośrodków osadniczych w zakresie ciążeń do rynków pracy i usług, powiązania ciągami infrastruktury transportowej i technicznej, w tym ważnymi połączeniami transportowymi z infrastrukturą transportową poza granicami regionu, a w jego bliskim sąsiedztwie (np. do drogi ekspresowej S11) oraz powiązania ekologiczne wzmacniające ochronę bioróżnorodności;</w:t>
      </w:r>
    </w:p>
    <w:p w14:paraId="77F56C67" w14:textId="1431D87B" w:rsidR="00E32496" w:rsidRPr="007E08F7" w:rsidRDefault="00E32496">
      <w:pPr>
        <w:numPr>
          <w:ilvl w:val="0"/>
          <w:numId w:val="7"/>
        </w:numPr>
        <w:spacing w:before="120" w:after="120" w:line="288" w:lineRule="auto"/>
        <w:ind w:left="567" w:hanging="425"/>
        <w:rPr>
          <w:rFonts w:asciiTheme="minorHAnsi" w:eastAsia="Aptos" w:hAnsiTheme="minorHAnsi" w:cs="Aptos"/>
        </w:rPr>
      </w:pPr>
      <w:r w:rsidRPr="007E08F7">
        <w:rPr>
          <w:rFonts w:asciiTheme="minorHAnsi" w:eastAsia="Aptos" w:hAnsiTheme="minorHAnsi" w:cs="Aptos"/>
        </w:rPr>
        <w:t>wieloośrodkowego rozwoju – koncentrowanie procesów rozwojowych na wzmacnianiu bazy ekonomicznej i usług publicznych całej sieci osadniczej, przy</w:t>
      </w:r>
      <w:r w:rsidR="00B7465B" w:rsidRPr="007E08F7">
        <w:rPr>
          <w:rFonts w:asciiTheme="minorHAnsi" w:eastAsia="Aptos" w:hAnsiTheme="minorHAnsi" w:cs="Aptos"/>
        </w:rPr>
        <w:t> </w:t>
      </w:r>
      <w:r w:rsidRPr="007E08F7">
        <w:rPr>
          <w:rFonts w:asciiTheme="minorHAnsi" w:eastAsia="Aptos" w:hAnsiTheme="minorHAnsi" w:cs="Aptos"/>
        </w:rPr>
        <w:t>jednoczesnym wzmacnianiu procesów miastotwórczych w ośrodkach zwłaszcza o</w:t>
      </w:r>
      <w:r w:rsidR="002C563C" w:rsidRPr="007E08F7">
        <w:rPr>
          <w:rFonts w:asciiTheme="minorHAnsi" w:eastAsia="Aptos" w:hAnsiTheme="minorHAnsi" w:cs="Aptos"/>
        </w:rPr>
        <w:t> </w:t>
      </w:r>
      <w:r w:rsidRPr="007E08F7">
        <w:rPr>
          <w:rFonts w:asciiTheme="minorHAnsi" w:eastAsia="Aptos" w:hAnsiTheme="minorHAnsi" w:cs="Aptos"/>
        </w:rPr>
        <w:t xml:space="preserve">znaczeniu ponadregionalnym, regionalnym i </w:t>
      </w:r>
      <w:proofErr w:type="spellStart"/>
      <w:r w:rsidRPr="007E08F7">
        <w:rPr>
          <w:rFonts w:asciiTheme="minorHAnsi" w:eastAsia="Aptos" w:hAnsiTheme="minorHAnsi" w:cs="Aptos"/>
        </w:rPr>
        <w:t>subregionalnym</w:t>
      </w:r>
      <w:proofErr w:type="spellEnd"/>
      <w:r w:rsidRPr="007E08F7">
        <w:rPr>
          <w:rFonts w:asciiTheme="minorHAnsi" w:eastAsia="Aptos" w:hAnsiTheme="minorHAnsi" w:cs="Aptos"/>
        </w:rPr>
        <w:t>; towarzyszyć temu powinno ekstensywne zagospodarowanie obszarów wiejskich, ukierunkowane na wykorzystanie potencjałów rolniczej przestrzeni produkcyjnej, w</w:t>
      </w:r>
      <w:r w:rsidR="00B7465B" w:rsidRPr="007E08F7">
        <w:rPr>
          <w:rFonts w:asciiTheme="minorHAnsi" w:eastAsia="Aptos" w:hAnsiTheme="minorHAnsi" w:cs="Aptos"/>
        </w:rPr>
        <w:t> </w:t>
      </w:r>
      <w:r w:rsidRPr="007E08F7">
        <w:rPr>
          <w:rFonts w:asciiTheme="minorHAnsi" w:eastAsia="Aptos" w:hAnsiTheme="minorHAnsi" w:cs="Aptos"/>
        </w:rPr>
        <w:t>szczególności w</w:t>
      </w:r>
      <w:r w:rsidR="002C563C" w:rsidRPr="007E08F7">
        <w:rPr>
          <w:rFonts w:asciiTheme="minorHAnsi" w:eastAsia="Aptos" w:hAnsiTheme="minorHAnsi" w:cs="Aptos"/>
        </w:rPr>
        <w:t> </w:t>
      </w:r>
      <w:r w:rsidRPr="007E08F7">
        <w:rPr>
          <w:rFonts w:asciiTheme="minorHAnsi" w:eastAsia="Aptos" w:hAnsiTheme="minorHAnsi" w:cs="Aptos"/>
        </w:rPr>
        <w:t>zakresie produkcji żywności i energetyki odnawialnej oraz obszarów leśnych, świadczących usługi ekosystemowe i rekreacyjne.</w:t>
      </w:r>
    </w:p>
    <w:p w14:paraId="1D4CB4FD" w14:textId="5848CC9C" w:rsidR="00E32496" w:rsidRPr="007E08F7" w:rsidRDefault="00E32496" w:rsidP="002B6024">
      <w:pPr>
        <w:spacing w:before="120" w:after="120" w:line="288" w:lineRule="auto"/>
        <w:rPr>
          <w:rFonts w:asciiTheme="minorHAnsi" w:eastAsia="Aptos" w:hAnsiTheme="minorHAnsi" w:cs="Aptos"/>
        </w:rPr>
      </w:pPr>
      <w:r w:rsidRPr="007E08F7">
        <w:rPr>
          <w:rFonts w:asciiTheme="minorHAnsi" w:eastAsia="Aptos" w:hAnsiTheme="minorHAnsi" w:cs="Aptos"/>
        </w:rPr>
        <w:t>Wdrożenie modelu w instrumentach polityki regionalnej polegać powinno na stosowaniu podejścia ukierunkowanego terytorialnie (celowane i selektywne w</w:t>
      </w:r>
      <w:r w:rsidR="002C563C" w:rsidRPr="007E08F7">
        <w:rPr>
          <w:rFonts w:asciiTheme="minorHAnsi" w:eastAsia="Aptos" w:hAnsiTheme="minorHAnsi" w:cs="Aptos"/>
        </w:rPr>
        <w:t> </w:t>
      </w:r>
      <w:r w:rsidRPr="007E08F7">
        <w:rPr>
          <w:rFonts w:asciiTheme="minorHAnsi" w:eastAsia="Aptos" w:hAnsiTheme="minorHAnsi" w:cs="Aptos"/>
        </w:rPr>
        <w:t>odniesieniu do potencjałów i barier rozwojowych danego obszaru), wymagającego jednocześnie odejścia od rozproszonej interwencji na rzecz precyzyjnych działań, adekwatnych do potrzeb różnych typów terytoriów.</w:t>
      </w:r>
    </w:p>
    <w:p w14:paraId="22C81445" w14:textId="63C10BCC" w:rsidR="00E32496" w:rsidRPr="007E08F7" w:rsidRDefault="00E32496" w:rsidP="002B6024">
      <w:p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lastRenderedPageBreak/>
        <w:t>Modelową strukturę funkcjonalno-przestrzenną regionu</w:t>
      </w:r>
      <w:r w:rsidRPr="007E08F7">
        <w:rPr>
          <w:rFonts w:asciiTheme="minorHAnsi" w:eastAsia="Aptos" w:hAnsiTheme="minorHAnsi" w:cs="Aptos"/>
          <w:bCs/>
          <w:spacing w:val="4"/>
        </w:rPr>
        <w:t xml:space="preserve"> tworzyć będą elementy przestrzeni fizycznej (ukształtowane bądź do ukształtowania) oraz relacje funkcjonalno-przestrzenne (zachodzące i do wykreowania) między nimi. Wdrożenie modelu w ramach aktywnego podejścia Samorządu Województwa Pomorskiego do</w:t>
      </w:r>
      <w:r w:rsidR="00B7465B" w:rsidRPr="007E08F7">
        <w:rPr>
          <w:rFonts w:asciiTheme="minorHAnsi" w:eastAsia="Aptos" w:hAnsiTheme="minorHAnsi" w:cs="Aptos"/>
          <w:bCs/>
          <w:spacing w:val="4"/>
        </w:rPr>
        <w:t> </w:t>
      </w:r>
      <w:r w:rsidRPr="007E08F7">
        <w:rPr>
          <w:rFonts w:asciiTheme="minorHAnsi" w:eastAsia="Aptos" w:hAnsiTheme="minorHAnsi" w:cs="Aptos"/>
          <w:bCs/>
          <w:spacing w:val="4"/>
        </w:rPr>
        <w:t>prowadzenia polityki rozwoju (inwestycyjnego, koordynacyjnego</w:t>
      </w:r>
      <w:r w:rsidR="00145749" w:rsidRPr="007E08F7">
        <w:rPr>
          <w:rFonts w:asciiTheme="minorHAnsi" w:eastAsia="Aptos" w:hAnsiTheme="minorHAnsi" w:cs="Aptos"/>
          <w:bCs/>
          <w:spacing w:val="4"/>
        </w:rPr>
        <w:t>, integrującego</w:t>
      </w:r>
      <w:r w:rsidRPr="007E08F7">
        <w:rPr>
          <w:rFonts w:asciiTheme="minorHAnsi" w:eastAsia="Aptos" w:hAnsiTheme="minorHAnsi" w:cs="Aptos"/>
          <w:bCs/>
          <w:spacing w:val="4"/>
        </w:rPr>
        <w:t xml:space="preserve"> lub inspirującego), decydować będzie o pozycji konkurencyjnej regionu, jego spójności społecznej i przestrzennej, ochronie zasobów i walorów przyrodniczo-kulturowych i</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 xml:space="preserve">krajobrazowych, a także odporności na zewnętrzne i wewnętrzne czynniki kryzysowe. Kluczowymi czynnikami i elementami </w:t>
      </w:r>
      <w:r w:rsidRPr="007E08F7">
        <w:rPr>
          <w:rFonts w:asciiTheme="minorHAnsi" w:eastAsia="Aptos" w:hAnsiTheme="minorHAnsi" w:cs="Aptos"/>
          <w:b/>
          <w:bCs/>
          <w:spacing w:val="4"/>
        </w:rPr>
        <w:t>modelu zintegrowanego i</w:t>
      </w:r>
      <w:r w:rsidR="002C563C" w:rsidRPr="007E08F7">
        <w:rPr>
          <w:rFonts w:asciiTheme="minorHAnsi" w:eastAsia="Aptos" w:hAnsiTheme="minorHAnsi" w:cs="Aptos"/>
          <w:b/>
          <w:bCs/>
          <w:spacing w:val="4"/>
        </w:rPr>
        <w:t> </w:t>
      </w:r>
      <w:r w:rsidRPr="007E08F7">
        <w:rPr>
          <w:rFonts w:asciiTheme="minorHAnsi" w:eastAsia="Aptos" w:hAnsiTheme="minorHAnsi" w:cs="Aptos"/>
          <w:b/>
          <w:bCs/>
          <w:spacing w:val="4"/>
        </w:rPr>
        <w:t>wieloośrodkowego rozwoju</w:t>
      </w:r>
      <w:r w:rsidRPr="007E08F7">
        <w:rPr>
          <w:rFonts w:asciiTheme="minorHAnsi" w:eastAsia="Aptos" w:hAnsiTheme="minorHAnsi" w:cs="Aptos"/>
          <w:bCs/>
          <w:spacing w:val="4"/>
        </w:rPr>
        <w:t xml:space="preserve"> są:</w:t>
      </w:r>
    </w:p>
    <w:p w14:paraId="70BE640B" w14:textId="77777777" w:rsidR="00E32496" w:rsidRPr="007E08F7" w:rsidRDefault="00E32496">
      <w:pPr>
        <w:numPr>
          <w:ilvl w:val="0"/>
          <w:numId w:val="62"/>
        </w:numPr>
        <w:spacing w:before="120" w:after="120" w:line="288" w:lineRule="auto"/>
        <w:rPr>
          <w:rFonts w:asciiTheme="minorHAnsi" w:eastAsia="Aptos" w:hAnsiTheme="minorHAnsi" w:cs="Aptos"/>
          <w:bCs/>
          <w:spacing w:val="4"/>
        </w:rPr>
      </w:pPr>
      <w:r w:rsidRPr="007E08F7">
        <w:rPr>
          <w:rFonts w:asciiTheme="minorHAnsi" w:eastAsia="Aptos" w:hAnsiTheme="minorHAnsi"/>
          <w:b/>
          <w:bCs/>
        </w:rPr>
        <w:t>międzynarodowe powiązania funkcjonalno-przestrzenne</w:t>
      </w:r>
      <w:r w:rsidRPr="007E08F7">
        <w:rPr>
          <w:rFonts w:asciiTheme="minorHAnsi" w:eastAsia="Aptos" w:hAnsiTheme="minorHAnsi"/>
        </w:rPr>
        <w:t>: obejmujące m.in. transport towarów, przepływy kapitału, rynek pracy, ruch turystyczny, powiązania instytucjonalne oraz transfer wiedzy i informacji, które zachodzą w różnych skalach i wymiarach;</w:t>
      </w:r>
      <w:r w:rsidRPr="007E08F7">
        <w:rPr>
          <w:rFonts w:asciiTheme="minorHAnsi" w:eastAsia="Aptos" w:hAnsiTheme="minorHAnsi" w:cs="Aptos"/>
          <w:bCs/>
          <w:spacing w:val="4"/>
        </w:rPr>
        <w:t xml:space="preserve"> </w:t>
      </w:r>
      <w:r w:rsidRPr="007E08F7">
        <w:rPr>
          <w:rFonts w:asciiTheme="minorHAnsi" w:eastAsia="Aptos" w:hAnsiTheme="minorHAnsi"/>
        </w:rPr>
        <w:t>obejmują one powiązania:</w:t>
      </w:r>
    </w:p>
    <w:p w14:paraId="5310F70D" w14:textId="72DC9266"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b/>
          <w:bCs/>
        </w:rPr>
        <w:t>globalne:</w:t>
      </w:r>
      <w:r w:rsidRPr="007E08F7">
        <w:rPr>
          <w:rFonts w:asciiTheme="minorHAnsi" w:eastAsia="Aptos" w:hAnsiTheme="minorHAnsi"/>
        </w:rPr>
        <w:t xml:space="preserve"> ich przejawem będzie stały wzrost znaczenia pozycji portów morskich Gdańska i Gdyni w międzykontynentalnych łańcuchach </w:t>
      </w:r>
      <w:r w:rsidRPr="007E08F7">
        <w:rPr>
          <w:rFonts w:asciiTheme="minorHAnsi" w:eastAsia="Aptos" w:hAnsiTheme="minorHAnsi"/>
        </w:rPr>
        <w:softHyphen/>
        <w:t>dostaw oraz powiązanie regionu z planowanym Portem Polska (międzynarodowy węzeł lotniczy w</w:t>
      </w:r>
      <w:r w:rsidR="002C563C" w:rsidRPr="007E08F7">
        <w:rPr>
          <w:rFonts w:asciiTheme="minorHAnsi" w:eastAsia="Aptos" w:hAnsiTheme="minorHAnsi"/>
        </w:rPr>
        <w:t> </w:t>
      </w:r>
      <w:r w:rsidRPr="007E08F7">
        <w:rPr>
          <w:rFonts w:asciiTheme="minorHAnsi" w:eastAsia="Aptos" w:hAnsiTheme="minorHAnsi"/>
        </w:rPr>
        <w:t xml:space="preserve">Baranowie pod Warszawą); </w:t>
      </w:r>
    </w:p>
    <w:p w14:paraId="4CE28DB5" w14:textId="18BC444D"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b/>
          <w:bCs/>
        </w:rPr>
        <w:t>europejskie, a w szczególności z Regionem Morza Bałtyckiego, Regionem Morza Adriatyckiego i Regionem Morza Czarnego:</w:t>
      </w:r>
      <w:r w:rsidRPr="007E08F7">
        <w:rPr>
          <w:rFonts w:asciiTheme="minorHAnsi" w:eastAsia="Aptos" w:hAnsiTheme="minorHAnsi"/>
        </w:rPr>
        <w:t xml:space="preserve"> wynikać będą one z</w:t>
      </w:r>
      <w:r w:rsidR="002C563C" w:rsidRPr="007E08F7">
        <w:rPr>
          <w:rFonts w:asciiTheme="minorHAnsi" w:eastAsia="Aptos" w:hAnsiTheme="minorHAnsi"/>
        </w:rPr>
        <w:t> </w:t>
      </w:r>
      <w:r w:rsidRPr="007E08F7">
        <w:rPr>
          <w:rFonts w:asciiTheme="minorHAnsi" w:eastAsia="Aptos" w:hAnsiTheme="minorHAnsi"/>
        </w:rPr>
        <w:t xml:space="preserve">rosnącej pozycji społeczno-gospodarczej regionu, jako kształtującego się </w:t>
      </w:r>
      <w:proofErr w:type="spellStart"/>
      <w:r w:rsidRPr="007E08F7">
        <w:rPr>
          <w:rFonts w:asciiTheme="minorHAnsi" w:eastAsia="Aptos" w:hAnsiTheme="minorHAnsi"/>
        </w:rPr>
        <w:t>hubu</w:t>
      </w:r>
      <w:proofErr w:type="spellEnd"/>
      <w:r w:rsidRPr="007E08F7">
        <w:rPr>
          <w:rFonts w:asciiTheme="minorHAnsi" w:eastAsia="Aptos" w:hAnsiTheme="minorHAnsi"/>
        </w:rPr>
        <w:t xml:space="preserve"> paliwowo-energetycznego i transportowo-logistycznego oraz wzrostu siły ekonomicznej i komplementarności gospodarek państw i regionów Unii Europejskiej; uzupełniać je będą wielostronne relacje instytucjonalne, wymiana kulturalna, edukacyjna i rosnąca atrakcyjność turystyczna Pomorza;</w:t>
      </w:r>
    </w:p>
    <w:p w14:paraId="2A632662" w14:textId="323BF7BC"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b/>
          <w:bCs/>
        </w:rPr>
        <w:t>europejskie zewnętrzne</w:t>
      </w:r>
      <w:r w:rsidRPr="007E08F7">
        <w:rPr>
          <w:rFonts w:asciiTheme="minorHAnsi" w:eastAsia="Aptos" w:hAnsiTheme="minorHAnsi"/>
        </w:rPr>
        <w:t xml:space="preserve">, dla których kluczowym </w:t>
      </w:r>
      <w:r w:rsidRPr="007E08F7">
        <w:rPr>
          <w:rFonts w:asciiTheme="minorHAnsi" w:eastAsia="Aptos" w:hAnsiTheme="minorHAnsi" w:cs="Aptos"/>
        </w:rPr>
        <w:t>uwarunkowaniem będzie dalszy rozwój sytuacji geopolitycznej, w tym w szczególności utrzymująca się wojna w Ukrainie oraz związana z nią agresywna polityka Federacji Rosyjskiej i</w:t>
      </w:r>
      <w:r w:rsidR="002C563C" w:rsidRPr="007E08F7">
        <w:rPr>
          <w:rFonts w:asciiTheme="minorHAnsi" w:eastAsia="Aptos" w:hAnsiTheme="minorHAnsi" w:cs="Aptos"/>
        </w:rPr>
        <w:t> </w:t>
      </w:r>
      <w:r w:rsidRPr="007E08F7">
        <w:rPr>
          <w:rFonts w:asciiTheme="minorHAnsi" w:eastAsia="Aptos" w:hAnsiTheme="minorHAnsi" w:cs="Aptos"/>
        </w:rPr>
        <w:t>Białorusi wobec Unii Europejskiej; sytuacja na wschodniej granicy UE i NATO staje się jedną z głównych kwestii bezpieczeństwa</w:t>
      </w:r>
      <w:r w:rsidRPr="007E08F7">
        <w:rPr>
          <w:rFonts w:asciiTheme="minorHAnsi" w:eastAsia="Aptos" w:hAnsiTheme="minorHAnsi"/>
        </w:rPr>
        <w:t xml:space="preserve"> europejskiego; niepewność rozwoju sytuacji pozwala budować dwa skrajne obrazy rozwoju międzynarodowych powiązań </w:t>
      </w:r>
      <w:r w:rsidR="00140D43" w:rsidRPr="007E08F7">
        <w:rPr>
          <w:rFonts w:asciiTheme="minorHAnsi" w:eastAsia="Aptos" w:hAnsiTheme="minorHAnsi"/>
        </w:rPr>
        <w:t>funkcjonalno</w:t>
      </w:r>
      <w:r w:rsidRPr="007E08F7">
        <w:rPr>
          <w:rFonts w:asciiTheme="minorHAnsi" w:eastAsia="Aptos" w:hAnsiTheme="minorHAnsi"/>
        </w:rPr>
        <w:t xml:space="preserve">-przestrzennych – prawdopodobny: Pomorskie jako region przygraniczny o zamrożonych relacjach społeczno-gospodarczych z Obwodem Królewieckim, zagrożone ze strony Federacji Rosyjskiej zarówno militarnie, cybernetycznie, jak również w sferze dezinformacji oraz mało prawdopodobny: Pomorskie, jako region rozwijającej się współpracy i powiązań społeczno-gospodarczych z Obwodem </w:t>
      </w:r>
      <w:r w:rsidRPr="007E08F7">
        <w:rPr>
          <w:rFonts w:asciiTheme="minorHAnsi" w:eastAsia="Aptos" w:hAnsiTheme="minorHAnsi"/>
        </w:rPr>
        <w:lastRenderedPageBreak/>
        <w:t>Królewieckim, jako rosyjskim partnerem państw całego Regionu Morza Bałtyckiego.</w:t>
      </w:r>
    </w:p>
    <w:p w14:paraId="38C437F9" w14:textId="77777777" w:rsidR="00E32496" w:rsidRPr="007E08F7" w:rsidRDefault="00E32496">
      <w:pPr>
        <w:numPr>
          <w:ilvl w:val="0"/>
          <w:numId w:val="62"/>
        </w:numPr>
        <w:spacing w:before="120" w:after="120" w:line="288" w:lineRule="auto"/>
        <w:rPr>
          <w:rFonts w:asciiTheme="minorHAnsi" w:eastAsia="Aptos" w:hAnsiTheme="minorHAnsi" w:cs="Aptos"/>
          <w:bCs/>
          <w:spacing w:val="4"/>
        </w:rPr>
      </w:pPr>
      <w:r w:rsidRPr="007E08F7">
        <w:rPr>
          <w:rFonts w:asciiTheme="minorHAnsi" w:eastAsia="Aptos" w:hAnsiTheme="minorHAnsi"/>
          <w:b/>
          <w:bCs/>
        </w:rPr>
        <w:t>międzyregionalne powiązania funkcjonalno-przestrzenne</w:t>
      </w:r>
      <w:r w:rsidRPr="007E08F7">
        <w:rPr>
          <w:rFonts w:asciiTheme="minorHAnsi" w:eastAsia="Aptos" w:hAnsiTheme="minorHAnsi"/>
        </w:rPr>
        <w:t>: generowane przez historycznie ukształtowane i ugruntowane relacje (zwłaszcza ośrodków osadniczych), wzmacniane rozwijającym się systemem transportowym (zwłaszcza drogami ekspresowymi i liniami kolejowymi o dobrej ofercie publicznego transportu zbiorowego); zwiększają one integrację regionu z otoczeniem zewnętrznym oraz kreują nowe potencjały rozwojowe w różnych jego częściach; stanowią je relacje:</w:t>
      </w:r>
    </w:p>
    <w:p w14:paraId="5AA4120A"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ośrodka regionalnego Elbląga (woj. warmińsko-mazurskie) oraz jego subregionu z Trójmiastem, Tczewem i Malborkiem</w:t>
      </w:r>
      <w:r w:rsidRPr="007E08F7">
        <w:rPr>
          <w:rFonts w:asciiTheme="minorHAnsi" w:eastAsia="Aptos" w:hAnsiTheme="minorHAnsi" w:cs="Aptos"/>
          <w:bCs/>
          <w:spacing w:val="4"/>
        </w:rPr>
        <w:t>, które</w:t>
      </w:r>
      <w:r w:rsidRPr="007E08F7">
        <w:rPr>
          <w:rFonts w:asciiTheme="minorHAnsi" w:eastAsia="Aptos" w:hAnsiTheme="minorHAnsi" w:cs="Aptos"/>
          <w:b/>
          <w:spacing w:val="4"/>
        </w:rPr>
        <w:t xml:space="preserve"> </w:t>
      </w:r>
      <w:r w:rsidRPr="007E08F7">
        <w:rPr>
          <w:rFonts w:asciiTheme="minorHAnsi" w:eastAsia="Aptos" w:hAnsiTheme="minorHAnsi" w:cs="Aptos"/>
          <w:bCs/>
          <w:spacing w:val="4"/>
        </w:rPr>
        <w:t>zachodzić będą zwłaszcza w aspektach zróżnicowanej oferty pomorskiego rynku pracy i szkół wyższych;</w:t>
      </w:r>
    </w:p>
    <w:p w14:paraId="6354E784"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ośrodka regionalnego Grudziądza (woj. kujawsko-pomorskie) z Kwidzynem z oraz jego subregionem</w:t>
      </w:r>
      <w:r w:rsidRPr="007E08F7">
        <w:rPr>
          <w:rFonts w:asciiTheme="minorHAnsi" w:eastAsia="Aptos" w:hAnsiTheme="minorHAnsi" w:cs="Aptos"/>
          <w:bCs/>
          <w:spacing w:val="4"/>
        </w:rPr>
        <w:t>, które</w:t>
      </w:r>
      <w:r w:rsidRPr="007E08F7">
        <w:rPr>
          <w:rFonts w:asciiTheme="minorHAnsi" w:eastAsia="Aptos" w:hAnsiTheme="minorHAnsi" w:cs="Aptos"/>
          <w:b/>
          <w:spacing w:val="4"/>
        </w:rPr>
        <w:t xml:space="preserve"> </w:t>
      </w:r>
      <w:r w:rsidRPr="007E08F7">
        <w:rPr>
          <w:rFonts w:asciiTheme="minorHAnsi" w:eastAsia="Aptos" w:hAnsiTheme="minorHAnsi" w:cs="Aptos"/>
          <w:bCs/>
          <w:spacing w:val="4"/>
        </w:rPr>
        <w:t>zachodzić będą przede wszystkim w zakresie zróżnicowanej i komplementarnej oferty obu rynków pracy oraz usług ochrony zdrowia świadczonych w Grudziądzu;</w:t>
      </w:r>
    </w:p>
    <w:p w14:paraId="4B42A3A5"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subregionów Tucholi, Sępólna Krajeńskiego (woj. kujawsko-pomorskie), Szczecinka (woj. zachodniopomorskie) i północnej części subregionu złotowskiego (woj. wielkopolskie) z Chojnicami i Człuchowem</w:t>
      </w:r>
      <w:r w:rsidRPr="007E08F7">
        <w:rPr>
          <w:rFonts w:asciiTheme="minorHAnsi" w:eastAsia="Aptos" w:hAnsiTheme="minorHAnsi" w:cs="Aptos"/>
          <w:bCs/>
          <w:spacing w:val="4"/>
        </w:rPr>
        <w:t>, które zachodzić będą zwłaszcza w aspektach oferty rynku pracy, szkół ponadpodstawowych i usług ochrony zdrowia;</w:t>
      </w:r>
    </w:p>
    <w:p w14:paraId="568CD1F9" w14:textId="0DC35F1C"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subregionu Sławna i krajowej aglomeracji miejskiej Koszalina (woj. zachodniopomorskie) ze Słupskiem i jego subregionem</w:t>
      </w:r>
      <w:r w:rsidRPr="007E08F7">
        <w:rPr>
          <w:rFonts w:asciiTheme="minorHAnsi" w:eastAsia="Aptos" w:hAnsiTheme="minorHAnsi" w:cs="Aptos"/>
          <w:bCs/>
          <w:spacing w:val="4"/>
        </w:rPr>
        <w:t>, które zachodzić będą w obu kierunkach, a zwłaszcza w aspektach oferty rynku pracy w</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Słupsku i szkolnictwa wyższego w Koszalinie i Słupsku oraz usług ochrony zdrowia;</w:t>
      </w:r>
    </w:p>
    <w:p w14:paraId="73601FE9" w14:textId="53DD444E"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hierarchiczna wieloośrodkowa sieć ośrodków osadniczych Pomorza</w:t>
      </w:r>
      <w:r w:rsidRPr="007E08F7">
        <w:rPr>
          <w:rFonts w:asciiTheme="minorHAnsi" w:eastAsia="Aptos" w:hAnsiTheme="minorHAnsi" w:cs="Aptos"/>
          <w:bCs/>
          <w:spacing w:val="4"/>
        </w:rPr>
        <w:t>, uwzględniająca specyfikę położenia ośrodka ponadregionalnego jako rdzenia metropolii (Gdańska, Gdyni i Sopotu)</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poza geometrycznym centrum regionu oraz wynikające z tego role Słupska, Chojnic i Kwidzyna jako ośrodków położonych w najbardziej oddalonych od Trójmiasta częściach województwa; wieloośrodkową sieć Pomorza tworzą:</w:t>
      </w:r>
    </w:p>
    <w:p w14:paraId="49B52169" w14:textId="72FBDD81"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ośrodek ponadregionalny - metropolitalny Trójmiasto</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(Gdańsk, Gdynia i</w:t>
      </w:r>
      <w:r w:rsidR="002C563C" w:rsidRPr="007E08F7">
        <w:rPr>
          <w:rFonts w:asciiTheme="minorHAnsi" w:eastAsia="Aptos" w:hAnsiTheme="minorHAnsi" w:cs="Aptos"/>
          <w:b/>
          <w:spacing w:val="4"/>
        </w:rPr>
        <w:t> </w:t>
      </w:r>
      <w:r w:rsidRPr="007E08F7">
        <w:rPr>
          <w:rFonts w:asciiTheme="minorHAnsi" w:eastAsia="Aptos" w:hAnsiTheme="minorHAnsi" w:cs="Aptos"/>
          <w:b/>
          <w:spacing w:val="4"/>
        </w:rPr>
        <w:t>Sopot)</w:t>
      </w:r>
      <w:r w:rsidRPr="007E08F7">
        <w:rPr>
          <w:rFonts w:asciiTheme="minorHAnsi" w:eastAsia="Aptos" w:hAnsiTheme="minorHAnsi" w:cs="Aptos"/>
          <w:bCs/>
          <w:spacing w:val="4"/>
        </w:rPr>
        <w:t xml:space="preserve"> jako</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jeden z biegunów rozwoju społeczno-gospodarczego kraju</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o</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znaczeniu europejskim, który w procesie konkurencji międzynarodowej</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 xml:space="preserve">tworzy coraz silniejszy węzeł koncentrujący funkcje metropolitalne, </w:t>
      </w:r>
      <w:r w:rsidRPr="007E08F7">
        <w:rPr>
          <w:rFonts w:asciiTheme="minorHAnsi" w:eastAsia="Aptos" w:hAnsiTheme="minorHAnsi" w:cs="Aptos"/>
          <w:bCs/>
          <w:spacing w:val="4"/>
        </w:rPr>
        <w:lastRenderedPageBreak/>
        <w:t>aktywność gospodarczą i potencjał innowacyjny oddziałujący na polską przestrzeń i Region Morza Bałtyckiego; procesy dynamicznego rozwoju Trójmiasta generują wokół niego strefę silnych powiązań funkcjonalnych i</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zaawansowanych procesów urbanizacyjnych zachodzących na osi Tczew - Pruszcz Gdański – Gdańsk – Sopot - Gdynia – Wejherowo i w gminach bezpośrednio z nią sąsiadujących (Pszczółki, Pruszcz Gdański, Kolbudy, Żukowo, Przodkowo, Szemud, Wejherowo i Kosakowo), a trwające procesy inwestycyjne związane z budową elektrowni jądrowej w Choczewie oraz kopalni polihalitu w okolicach Władysławowa, stymulować będą intensywność powiązań funkcjonalnych tych ośrodków z Trójmiastem i</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intensyfikacje procesów urbanizacji wzdłuż linii kolejowych w kierunku Choczewa i Władysławowa, co będzie czynnikiem kształtującym strukturę funkcjonalno-przestrzenną obszaru metropolitalnego;</w:t>
      </w:r>
    </w:p>
    <w:p w14:paraId="44CF850C" w14:textId="5B5671F6"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 xml:space="preserve">ośrodek regionalny Słupsk, </w:t>
      </w:r>
      <w:r w:rsidRPr="007E08F7">
        <w:rPr>
          <w:rFonts w:asciiTheme="minorHAnsi" w:eastAsia="Aptos" w:hAnsiTheme="minorHAnsi" w:cs="Aptos"/>
          <w:bCs/>
          <w:spacing w:val="4"/>
        </w:rPr>
        <w:t>jako główny biegun rozwoju północno-zachodniej części województwa, wykazujący oddziaływanie na sąsiadujące powiaty (zwłaszcza słupski i bytowski oraz sławieński w województwie zachodniopomorskim), bardzo dobrze skomunikowany z Trójmiastem i</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 xml:space="preserve">innymi ośrodkami kraju i regionu, </w:t>
      </w:r>
      <w:r w:rsidRPr="007E08F7">
        <w:rPr>
          <w:rFonts w:asciiTheme="minorHAnsi" w:eastAsia="Aptos" w:hAnsiTheme="minorHAnsi" w:cs="Aptos"/>
          <w:b/>
          <w:bCs/>
          <w:spacing w:val="4"/>
        </w:rPr>
        <w:t>tworzący z Ustką bipolarny układ komplementarny</w:t>
      </w:r>
      <w:r w:rsidRPr="007E08F7">
        <w:rPr>
          <w:rFonts w:asciiTheme="minorHAnsi" w:eastAsia="Aptos" w:hAnsiTheme="minorHAnsi" w:cs="Aptos"/>
          <w:bCs/>
          <w:spacing w:val="4"/>
        </w:rPr>
        <w:t>, w którym połączenie atutów nadmorskiej miejscowości turystycznej i ośrodka o wykształconych usługach wyższego rzędu (m.in. szkolnictwo wyższe, wyspecjalizowane usługi zdrowotne itd.) zwiększa znaczenie tych miast; układ bipolarny oraz intensyfikacja powiązań funkcjonalnych i procesy urbanizacji kształtować będą miejski obszar funkcjonalny Słupska;</w:t>
      </w:r>
    </w:p>
    <w:p w14:paraId="682FF745"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ośrodki regionalne Tczew i Wejherowo</w:t>
      </w:r>
      <w:r w:rsidRPr="007E08F7">
        <w:rPr>
          <w:rFonts w:asciiTheme="minorHAnsi" w:eastAsia="Aptos" w:hAnsiTheme="minorHAnsi" w:cs="Aptos"/>
          <w:bCs/>
          <w:spacing w:val="4"/>
        </w:rPr>
        <w:t>, istotne dla obsługi mieszkańców obszaru metropolitalnego i wykraczające poza zasięg powiatów, jednocześnie rozwijające funkcje komplementarne, w tym funkcje metropolitalne; wielkość i funkcje tych ośrodków kształtują wokół nich strefy silnych powiązań - miejskie obszary funkcjonalne Tczewa i Wejherowa;</w:t>
      </w:r>
    </w:p>
    <w:p w14:paraId="132E1113" w14:textId="62E5936B"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 xml:space="preserve">ośrodek </w:t>
      </w:r>
      <w:proofErr w:type="spellStart"/>
      <w:r w:rsidRPr="007E08F7">
        <w:rPr>
          <w:rFonts w:asciiTheme="minorHAnsi" w:eastAsia="Aptos" w:hAnsiTheme="minorHAnsi" w:cs="Aptos"/>
          <w:b/>
          <w:bCs/>
          <w:spacing w:val="4"/>
        </w:rPr>
        <w:t>subregionalny</w:t>
      </w:r>
      <w:proofErr w:type="spellEnd"/>
      <w:r w:rsidRPr="007E08F7">
        <w:rPr>
          <w:rFonts w:asciiTheme="minorHAnsi" w:eastAsia="Aptos" w:hAnsiTheme="minorHAnsi" w:cs="Aptos"/>
          <w:b/>
          <w:bCs/>
          <w:spacing w:val="4"/>
        </w:rPr>
        <w:t xml:space="preserve"> Chojnice, jako potencjalny ośrodek regionalny, </w:t>
      </w:r>
      <w:r w:rsidRPr="007E08F7">
        <w:rPr>
          <w:rFonts w:asciiTheme="minorHAnsi" w:eastAsia="Aptos" w:hAnsiTheme="minorHAnsi" w:cs="Aptos"/>
          <w:bCs/>
          <w:spacing w:val="4"/>
        </w:rPr>
        <w:t>zwiększający swe szanse na sukcesywny wzrost znaczenia m.in. poprzez rozwój efektywnej współpracy</w:t>
      </w:r>
      <w:r w:rsidRPr="007E08F7">
        <w:rPr>
          <w:rFonts w:asciiTheme="minorHAnsi" w:eastAsia="Aptos" w:hAnsiTheme="minorHAnsi" w:cs="Aptos"/>
          <w:b/>
          <w:bCs/>
          <w:spacing w:val="4"/>
        </w:rPr>
        <w:t xml:space="preserve"> w układzie z sąsiadującym Człuchowem</w:t>
      </w:r>
      <w:r w:rsidRPr="007E08F7">
        <w:rPr>
          <w:rFonts w:asciiTheme="minorHAnsi" w:eastAsia="Aptos" w:hAnsiTheme="minorHAnsi" w:cs="Aptos"/>
          <w:bCs/>
          <w:spacing w:val="4"/>
        </w:rPr>
        <w:t>, o</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 xml:space="preserve">nieco mniejszej dynamice rozwoju, który oddziałuje przede wszystkim na powiaty chojnicki i człuchowski, a także na powiaty północno-zachodniej części województwa kujawsko-pomorskiego, północne w województwie </w:t>
      </w:r>
      <w:r w:rsidRPr="007E08F7">
        <w:rPr>
          <w:rFonts w:asciiTheme="minorHAnsi" w:eastAsia="Aptos" w:hAnsiTheme="minorHAnsi" w:cs="Aptos"/>
          <w:bCs/>
          <w:spacing w:val="4"/>
        </w:rPr>
        <w:lastRenderedPageBreak/>
        <w:t>wielkopolskim oraz wschodnie w województwie zachodniopomorskim</w:t>
      </w:r>
      <w:r w:rsidRPr="007E08F7">
        <w:rPr>
          <w:rFonts w:asciiTheme="minorHAnsi" w:eastAsia="Aptos" w:hAnsiTheme="minorHAnsi" w:cs="Aptos"/>
          <w:bCs/>
          <w:spacing w:val="4"/>
          <w:vertAlign w:val="superscript"/>
        </w:rPr>
        <w:footnoteReference w:id="74"/>
      </w:r>
      <w:r w:rsidRPr="007E08F7">
        <w:rPr>
          <w:rFonts w:asciiTheme="minorHAnsi" w:eastAsia="Aptos" w:hAnsiTheme="minorHAnsi" w:cs="Aptos"/>
          <w:bCs/>
          <w:spacing w:val="4"/>
        </w:rPr>
        <w:t>; intensyfikacja powiązań funkcjonalnych między Chojnicami i Człuchowem i</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kształtuje miejski obszar funkcjonalny Chojnice-Człuchów;</w:t>
      </w:r>
    </w:p>
    <w:p w14:paraId="6951B4CE"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 xml:space="preserve">pozostałe ośrodki </w:t>
      </w:r>
      <w:proofErr w:type="spellStart"/>
      <w:r w:rsidRPr="007E08F7">
        <w:rPr>
          <w:rFonts w:asciiTheme="minorHAnsi" w:eastAsia="Aptos" w:hAnsiTheme="minorHAnsi" w:cs="Aptos"/>
          <w:b/>
          <w:bCs/>
          <w:spacing w:val="4"/>
        </w:rPr>
        <w:t>subregionalne</w:t>
      </w:r>
      <w:proofErr w:type="spellEnd"/>
      <w:r w:rsidRPr="007E08F7">
        <w:rPr>
          <w:rFonts w:asciiTheme="minorHAnsi" w:eastAsia="Aptos" w:hAnsiTheme="minorHAnsi" w:cs="Aptos"/>
          <w:b/>
          <w:bCs/>
          <w:spacing w:val="4"/>
        </w:rPr>
        <w:t xml:space="preserve"> wzmacniające strukturę wieloośrodkową</w:t>
      </w:r>
      <w:r w:rsidRPr="007E08F7">
        <w:rPr>
          <w:rFonts w:asciiTheme="minorHAnsi" w:eastAsia="Aptos" w:hAnsiTheme="minorHAnsi" w:cs="Aptos"/>
          <w:bCs/>
          <w:spacing w:val="4"/>
        </w:rPr>
        <w:t xml:space="preserve">, których oddziaływania koncentrują się w układach powiatowych: </w:t>
      </w:r>
      <w:r w:rsidRPr="007E08F7">
        <w:rPr>
          <w:rFonts w:asciiTheme="minorHAnsi" w:eastAsia="Aptos" w:hAnsiTheme="minorHAnsi" w:cs="Aptos"/>
          <w:b/>
          <w:spacing w:val="4"/>
        </w:rPr>
        <w:t>Bytów, Kościerzyna, Kartuzy, Kwidzyn, Lębork, Puck</w:t>
      </w:r>
      <w:r w:rsidRPr="007E08F7">
        <w:rPr>
          <w:rFonts w:asciiTheme="minorHAnsi" w:eastAsia="Aptos" w:hAnsiTheme="minorHAnsi" w:cs="Aptos"/>
          <w:bCs/>
          <w:spacing w:val="4"/>
        </w:rPr>
        <w:t xml:space="preserve"> (kształtujący z </w:t>
      </w:r>
      <w:r w:rsidRPr="007E08F7">
        <w:rPr>
          <w:rFonts w:asciiTheme="minorHAnsi" w:eastAsia="Aptos" w:hAnsiTheme="minorHAnsi" w:cs="Aptos"/>
          <w:b/>
          <w:spacing w:val="4"/>
        </w:rPr>
        <w:t>Władysławowem</w:t>
      </w:r>
      <w:r w:rsidRPr="007E08F7">
        <w:rPr>
          <w:rFonts w:asciiTheme="minorHAnsi" w:eastAsia="Aptos" w:hAnsiTheme="minorHAnsi" w:cs="Aptos"/>
          <w:bCs/>
          <w:spacing w:val="4"/>
        </w:rPr>
        <w:t xml:space="preserve"> układ miast komplementarnych), </w:t>
      </w:r>
      <w:r w:rsidRPr="007E08F7">
        <w:rPr>
          <w:rFonts w:asciiTheme="minorHAnsi" w:eastAsia="Aptos" w:hAnsiTheme="minorHAnsi" w:cs="Aptos"/>
          <w:b/>
          <w:spacing w:val="4"/>
        </w:rPr>
        <w:t>Malbork</w:t>
      </w:r>
      <w:r w:rsidRPr="007E08F7">
        <w:rPr>
          <w:rFonts w:asciiTheme="minorHAnsi" w:eastAsia="Aptos" w:hAnsiTheme="minorHAnsi" w:cs="Aptos"/>
          <w:bCs/>
          <w:spacing w:val="4"/>
        </w:rPr>
        <w:t xml:space="preserve"> (kształtujący ze </w:t>
      </w:r>
      <w:r w:rsidRPr="007E08F7">
        <w:rPr>
          <w:rFonts w:asciiTheme="minorHAnsi" w:eastAsia="Aptos" w:hAnsiTheme="minorHAnsi" w:cs="Aptos"/>
          <w:b/>
          <w:spacing w:val="4"/>
        </w:rPr>
        <w:t>Sztumem</w:t>
      </w:r>
      <w:r w:rsidRPr="007E08F7">
        <w:rPr>
          <w:rFonts w:asciiTheme="minorHAnsi" w:eastAsia="Aptos" w:hAnsiTheme="minorHAnsi" w:cs="Aptos"/>
          <w:bCs/>
          <w:spacing w:val="4"/>
        </w:rPr>
        <w:t xml:space="preserve"> układ bipolarny, uwzględniający zróżnicowanie rangi tych ośrodków), który na bazie efektywnej współpracy ma szansę wzmacniać jednostkowe potencjały tych miast) oraz </w:t>
      </w:r>
      <w:r w:rsidRPr="007E08F7">
        <w:rPr>
          <w:rFonts w:asciiTheme="minorHAnsi" w:eastAsia="Aptos" w:hAnsiTheme="minorHAnsi" w:cs="Aptos"/>
          <w:b/>
          <w:spacing w:val="4"/>
        </w:rPr>
        <w:t>Starogard Gdański</w:t>
      </w:r>
      <w:r w:rsidRPr="007E08F7">
        <w:rPr>
          <w:rFonts w:asciiTheme="minorHAnsi" w:eastAsia="Aptos" w:hAnsiTheme="minorHAnsi" w:cs="Aptos"/>
          <w:bCs/>
          <w:spacing w:val="4"/>
        </w:rPr>
        <w:t>; intensyfikacja powiązań funkcjonalnych oraz procesy urbanizacji kształtują miejskie obszary funkcjonalne tych ośrodków;</w:t>
      </w:r>
    </w:p>
    <w:p w14:paraId="7E9237CC" w14:textId="10808B34"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 xml:space="preserve">potencjalny ośrodek </w:t>
      </w:r>
      <w:proofErr w:type="spellStart"/>
      <w:r w:rsidRPr="007E08F7">
        <w:rPr>
          <w:rFonts w:asciiTheme="minorHAnsi" w:eastAsia="Aptos" w:hAnsiTheme="minorHAnsi" w:cs="Aptos"/>
          <w:b/>
          <w:bCs/>
          <w:spacing w:val="4"/>
        </w:rPr>
        <w:t>subregionalny</w:t>
      </w:r>
      <w:proofErr w:type="spellEnd"/>
      <w:r w:rsidRPr="007E08F7">
        <w:rPr>
          <w:rFonts w:asciiTheme="minorHAnsi" w:eastAsia="Aptos" w:hAnsiTheme="minorHAnsi" w:cs="Aptos"/>
          <w:bCs/>
          <w:spacing w:val="4"/>
        </w:rPr>
        <w:t xml:space="preserve"> </w:t>
      </w:r>
      <w:r w:rsidRPr="007E08F7">
        <w:rPr>
          <w:rFonts w:asciiTheme="minorHAnsi" w:eastAsia="Aptos" w:hAnsiTheme="minorHAnsi" w:cs="Aptos"/>
          <w:b/>
          <w:spacing w:val="4"/>
        </w:rPr>
        <w:t>Miastko</w:t>
      </w:r>
      <w:r w:rsidRPr="007E08F7">
        <w:rPr>
          <w:rFonts w:asciiTheme="minorHAnsi" w:eastAsia="Aptos" w:hAnsiTheme="minorHAnsi" w:cs="Aptos"/>
          <w:bCs/>
          <w:spacing w:val="4"/>
          <w:vertAlign w:val="superscript"/>
        </w:rPr>
        <w:footnoteReference w:id="75"/>
      </w:r>
      <w:r w:rsidRPr="007E08F7">
        <w:rPr>
          <w:rFonts w:asciiTheme="minorHAnsi" w:eastAsia="Aptos" w:hAnsiTheme="minorHAnsi" w:cs="Aptos"/>
          <w:b/>
          <w:bCs/>
          <w:spacing w:val="4"/>
        </w:rPr>
        <w:t xml:space="preserve"> w układzie z sąsiadującym Białym Borem (woj. zachodniopomorskie)</w:t>
      </w:r>
      <w:r w:rsidRPr="007E08F7">
        <w:rPr>
          <w:rFonts w:asciiTheme="minorHAnsi" w:eastAsia="Aptos" w:hAnsiTheme="minorHAnsi" w:cs="Aptos"/>
          <w:bCs/>
          <w:spacing w:val="4"/>
        </w:rPr>
        <w:t>, którego potencjał rozwojowy wyraźnie zyska w związku z poprawą dostępności wynikającą z realizacji kolejnych odcinków drogi ekspresowej S11 i modernizacji linii kolejowej nr</w:t>
      </w:r>
      <w:r w:rsidR="002C563C" w:rsidRPr="007E08F7">
        <w:rPr>
          <w:rFonts w:asciiTheme="minorHAnsi" w:eastAsia="Aptos" w:hAnsiTheme="minorHAnsi" w:cs="Aptos"/>
          <w:bCs/>
          <w:spacing w:val="4"/>
        </w:rPr>
        <w:t> </w:t>
      </w:r>
      <w:r w:rsidRPr="007E08F7">
        <w:rPr>
          <w:rFonts w:asciiTheme="minorHAnsi" w:eastAsia="Aptos" w:hAnsiTheme="minorHAnsi" w:cs="Aptos"/>
          <w:bCs/>
          <w:spacing w:val="4"/>
        </w:rPr>
        <w:t>405 w kierunku Poznania; ma szanse on wzmacniać swą pozycję jako ośrodek usługowy oraz rynek pracy dla terenów położonych w środkowo-zachodniej części województwa, w której specyfika sieci osadniczej wykazuje deficyt ośrodków tej rangi;</w:t>
      </w:r>
    </w:p>
    <w:p w14:paraId="4A737BB4" w14:textId="7D50D61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 xml:space="preserve">ośrodki o znaczeniu ponadgminnym: </w:t>
      </w:r>
      <w:r w:rsidRPr="007E08F7">
        <w:rPr>
          <w:rFonts w:asciiTheme="minorHAnsi" w:eastAsia="Aptos" w:hAnsiTheme="minorHAnsi" w:cs="Aptos"/>
          <w:bCs/>
          <w:spacing w:val="4"/>
        </w:rPr>
        <w:t xml:space="preserve">równoważące rozwój i koncentrujące szereg funkcji oddziałujących na obszary sąsiednie, w tym w szczególności: </w:t>
      </w:r>
      <w:r w:rsidRPr="007E08F7">
        <w:rPr>
          <w:rFonts w:asciiTheme="minorHAnsi" w:eastAsia="Aptos" w:hAnsiTheme="minorHAnsi" w:cs="Aptos"/>
          <w:b/>
          <w:spacing w:val="4"/>
        </w:rPr>
        <w:t>Rumia</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Pruszcz Gdański</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Reda</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Czersk</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Nowy Dwór Gdański</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Pelplin</w:t>
      </w:r>
      <w:r w:rsidRPr="007E08F7">
        <w:rPr>
          <w:rFonts w:asciiTheme="minorHAnsi" w:eastAsia="Aptos" w:hAnsiTheme="minorHAnsi" w:cs="Aptos"/>
          <w:bCs/>
          <w:spacing w:val="4"/>
        </w:rPr>
        <w:t xml:space="preserve"> oraz </w:t>
      </w:r>
      <w:r w:rsidRPr="007E08F7">
        <w:rPr>
          <w:rFonts w:asciiTheme="minorHAnsi" w:eastAsia="Aptos" w:hAnsiTheme="minorHAnsi" w:cs="Aptos"/>
          <w:b/>
          <w:spacing w:val="4"/>
        </w:rPr>
        <w:t>Choczewo</w:t>
      </w:r>
      <w:r w:rsidRPr="007E08F7">
        <w:rPr>
          <w:rFonts w:asciiTheme="minorHAnsi" w:eastAsia="Aptos" w:hAnsiTheme="minorHAnsi" w:cs="Aptos"/>
          <w:bCs/>
          <w:spacing w:val="4"/>
        </w:rPr>
        <w:t xml:space="preserve"> (które w związku z budową elektrowni jądrowej i rozwój nowych funkcji związanych z obsługą procesu budowy będzie przekształcało się w</w:t>
      </w:r>
      <w:r w:rsidR="00DB5235" w:rsidRPr="007E08F7">
        <w:rPr>
          <w:rFonts w:asciiTheme="minorHAnsi" w:eastAsia="Aptos" w:hAnsiTheme="minorHAnsi" w:cs="Aptos"/>
          <w:bCs/>
          <w:spacing w:val="4"/>
        </w:rPr>
        <w:t> </w:t>
      </w:r>
      <w:r w:rsidRPr="007E08F7">
        <w:rPr>
          <w:rFonts w:asciiTheme="minorHAnsi" w:eastAsia="Aptos" w:hAnsiTheme="minorHAnsi" w:cs="Aptos"/>
          <w:bCs/>
          <w:spacing w:val="4"/>
        </w:rPr>
        <w:t xml:space="preserve">ośrodek miejski) i </w:t>
      </w:r>
      <w:r w:rsidRPr="007E08F7">
        <w:rPr>
          <w:rFonts w:asciiTheme="minorHAnsi" w:eastAsia="Aptos" w:hAnsiTheme="minorHAnsi" w:cs="Aptos"/>
          <w:b/>
          <w:spacing w:val="4"/>
        </w:rPr>
        <w:t>Sierakowice</w:t>
      </w:r>
      <w:r w:rsidRPr="007E08F7">
        <w:rPr>
          <w:rFonts w:asciiTheme="minorHAnsi" w:eastAsia="Aptos" w:hAnsiTheme="minorHAnsi" w:cs="Aptos"/>
          <w:bCs/>
          <w:spacing w:val="4"/>
        </w:rPr>
        <w:t>;</w:t>
      </w:r>
    </w:p>
    <w:p w14:paraId="4B5D8620"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pozostałe ośrodki o znaczeniu lokalnym:</w:t>
      </w:r>
      <w:r w:rsidRPr="007E08F7">
        <w:rPr>
          <w:rFonts w:asciiTheme="minorHAnsi" w:eastAsia="Aptos" w:hAnsiTheme="minorHAnsi"/>
        </w:rPr>
        <w:t xml:space="preserve"> wzmacniające strukturę wieloośrodkową, do których należą</w:t>
      </w:r>
      <w:r w:rsidRPr="007E08F7">
        <w:rPr>
          <w:rFonts w:asciiTheme="minorHAnsi" w:eastAsia="Aptos" w:hAnsiTheme="minorHAnsi" w:cs="Aptos"/>
          <w:b/>
          <w:bCs/>
          <w:spacing w:val="4"/>
        </w:rPr>
        <w:t xml:space="preserve">: </w:t>
      </w:r>
      <w:r w:rsidRPr="007E08F7">
        <w:rPr>
          <w:rFonts w:asciiTheme="minorHAnsi" w:eastAsia="Aptos" w:hAnsiTheme="minorHAnsi" w:cs="Aptos"/>
          <w:b/>
          <w:spacing w:val="4"/>
        </w:rPr>
        <w:t>Żukowo</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Skarszewy</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Gniew</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Czarne</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Brusy</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Dzierzgoń</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Debrzno</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Kobylnica</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Nowy Staw</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Skórcz</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Kępice</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Łeba</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Hel</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Czarna Woda</w:t>
      </w:r>
      <w:r w:rsidRPr="007E08F7">
        <w:rPr>
          <w:rFonts w:asciiTheme="minorHAnsi" w:eastAsia="Aptos" w:hAnsiTheme="minorHAnsi" w:cs="Aptos"/>
          <w:bCs/>
          <w:spacing w:val="4"/>
        </w:rPr>
        <w:t xml:space="preserve">, </w:t>
      </w:r>
      <w:r w:rsidRPr="007E08F7">
        <w:rPr>
          <w:rFonts w:asciiTheme="minorHAnsi" w:eastAsia="Aptos" w:hAnsiTheme="minorHAnsi" w:cs="Aptos"/>
          <w:b/>
          <w:spacing w:val="4"/>
        </w:rPr>
        <w:t>Jastarnia</w:t>
      </w:r>
      <w:r w:rsidRPr="007E08F7">
        <w:rPr>
          <w:rFonts w:asciiTheme="minorHAnsi" w:eastAsia="Aptos" w:hAnsiTheme="minorHAnsi" w:cs="Aptos"/>
          <w:bCs/>
          <w:spacing w:val="4"/>
        </w:rPr>
        <w:t xml:space="preserve"> i </w:t>
      </w:r>
      <w:r w:rsidRPr="007E08F7">
        <w:rPr>
          <w:rFonts w:asciiTheme="minorHAnsi" w:eastAsia="Aptos" w:hAnsiTheme="minorHAnsi" w:cs="Aptos"/>
          <w:b/>
          <w:spacing w:val="4"/>
        </w:rPr>
        <w:t>Krynica Morska</w:t>
      </w:r>
      <w:r w:rsidRPr="007E08F7">
        <w:rPr>
          <w:rFonts w:asciiTheme="minorHAnsi" w:eastAsia="Aptos" w:hAnsiTheme="minorHAnsi" w:cs="Aptos"/>
          <w:bCs/>
          <w:spacing w:val="4"/>
        </w:rPr>
        <w:t>;</w:t>
      </w:r>
    </w:p>
    <w:p w14:paraId="5DEF5C61" w14:textId="20D6EBF8" w:rsidR="00E32496" w:rsidRPr="007E08F7" w:rsidRDefault="00E32496">
      <w:pPr>
        <w:numPr>
          <w:ilvl w:val="0"/>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pasma rozwojowe, których potencjał związany jest w szczególności z przebiegiem infrastruktury transportowej i energetycznej, w tym sieci TEN-T i TEN-E</w:t>
      </w:r>
      <w:r w:rsidRPr="007E08F7">
        <w:rPr>
          <w:rFonts w:asciiTheme="minorHAnsi" w:eastAsia="Aptos" w:hAnsiTheme="minorHAnsi" w:cs="Aptos"/>
          <w:bCs/>
          <w:spacing w:val="4"/>
        </w:rPr>
        <w:t xml:space="preserve">; ich rozwój, zwłaszcza stref gospodarczych, zachodzić będzie węzłowo, </w:t>
      </w:r>
      <w:r w:rsidRPr="007E08F7">
        <w:rPr>
          <w:rFonts w:asciiTheme="minorHAnsi" w:eastAsia="Aptos" w:hAnsiTheme="minorHAnsi" w:cs="Aptos"/>
          <w:bCs/>
          <w:spacing w:val="4"/>
        </w:rPr>
        <w:lastRenderedPageBreak/>
        <w:t>jednym z kluczowych impulsów ich rozwoju są strategiczne inwestycje krajowe; należą do nich pasma:</w:t>
      </w:r>
    </w:p>
    <w:p w14:paraId="42B7DE83" w14:textId="1A13D704"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centralne:</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obejmujące obszary położone w przebiegu ponadregionalnych połączeń</w:t>
      </w:r>
      <w:r w:rsidRPr="007E08F7">
        <w:rPr>
          <w:rFonts w:asciiTheme="minorHAnsi" w:eastAsia="Aptos" w:hAnsiTheme="minorHAnsi" w:cs="Aptos"/>
          <w:b/>
          <w:bCs/>
          <w:color w:val="EE0000"/>
          <w:spacing w:val="4"/>
        </w:rPr>
        <w:t xml:space="preserve"> </w:t>
      </w:r>
      <w:r w:rsidRPr="007E08F7">
        <w:rPr>
          <w:rFonts w:asciiTheme="minorHAnsi" w:eastAsia="Aptos" w:hAnsiTheme="minorHAnsi" w:cs="Aptos"/>
          <w:spacing w:val="4"/>
        </w:rPr>
        <w:t>transportowych oraz infrastruktury zasilania w energię i paliwa, do</w:t>
      </w:r>
      <w:r w:rsidR="00DB5235" w:rsidRPr="007E08F7">
        <w:rPr>
          <w:rFonts w:asciiTheme="minorHAnsi" w:eastAsia="Aptos" w:hAnsiTheme="minorHAnsi" w:cs="Aptos"/>
          <w:spacing w:val="4"/>
        </w:rPr>
        <w:t> </w:t>
      </w:r>
      <w:r w:rsidRPr="007E08F7">
        <w:rPr>
          <w:rFonts w:asciiTheme="minorHAnsi" w:eastAsia="Aptos" w:hAnsiTheme="minorHAnsi" w:cs="Aptos"/>
          <w:spacing w:val="4"/>
        </w:rPr>
        <w:t>których należą połączenia</w:t>
      </w:r>
      <w:r w:rsidRPr="007E08F7">
        <w:rPr>
          <w:rFonts w:asciiTheme="minorHAnsi" w:eastAsia="Aptos" w:hAnsiTheme="minorHAnsi" w:cs="Aptos"/>
          <w:bCs/>
          <w:spacing w:val="4"/>
        </w:rPr>
        <w:t>:</w:t>
      </w:r>
    </w:p>
    <w:p w14:paraId="22E0294C" w14:textId="21588679"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rPr>
        <w:t>drogowe: w standardzie dróg szybkiego ruchu</w:t>
      </w:r>
      <w:r w:rsidRPr="007E08F7">
        <w:rPr>
          <w:rFonts w:asciiTheme="minorHAnsi" w:eastAsia="Aptos" w:hAnsiTheme="minorHAnsi" w:cs="Aptos"/>
          <w:bCs/>
          <w:spacing w:val="4"/>
        </w:rPr>
        <w:t xml:space="preserve"> na kierunku: Choczewo/Władysławowo – Gdynia – Gdańsk – Toruń – </w:t>
      </w:r>
      <w:r w:rsidRPr="007E08F7">
        <w:rPr>
          <w:rFonts w:asciiTheme="minorHAnsi" w:eastAsia="Aptos" w:hAnsiTheme="minorHAnsi"/>
        </w:rPr>
        <w:t>Łódź – Piotrków Trybunalski – Częstochowa – Górnośląsko-Zagłębiowska Metropolia – gr</w:t>
      </w:r>
      <w:r w:rsidR="00871D4D" w:rsidRPr="007E08F7">
        <w:rPr>
          <w:rFonts w:asciiTheme="minorHAnsi" w:eastAsia="Aptos" w:hAnsiTheme="minorHAnsi"/>
        </w:rPr>
        <w:t>anica</w:t>
      </w:r>
      <w:r w:rsidRPr="007E08F7">
        <w:rPr>
          <w:rFonts w:asciiTheme="minorHAnsi" w:eastAsia="Aptos" w:hAnsiTheme="minorHAnsi"/>
        </w:rPr>
        <w:t xml:space="preserve"> państwa z Czechami</w:t>
      </w:r>
      <w:r w:rsidRPr="007E08F7">
        <w:rPr>
          <w:rFonts w:asciiTheme="minorHAnsi" w:eastAsia="Aptos" w:hAnsiTheme="minorHAnsi" w:cs="Aptos"/>
          <w:bCs/>
          <w:spacing w:val="4"/>
        </w:rPr>
        <w:t>;</w:t>
      </w:r>
    </w:p>
    <w:p w14:paraId="0C9D1D0F" w14:textId="40954640"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kolejowe: </w:t>
      </w:r>
      <w:r w:rsidRPr="007E08F7">
        <w:rPr>
          <w:rFonts w:asciiTheme="minorHAnsi" w:eastAsia="Aptos" w:hAnsiTheme="minorHAnsi"/>
        </w:rPr>
        <w:t>istotne z punktu widzenia kształtowania szkieletowej sieci połączeń w krajowych i międzynarodowych przewozach pasażerskich oraz towarowych na kierunku</w:t>
      </w:r>
      <w:r w:rsidRPr="007E08F7">
        <w:rPr>
          <w:rFonts w:asciiTheme="minorHAnsi" w:eastAsia="Aptos" w:hAnsiTheme="minorHAnsi" w:cs="Aptos"/>
          <w:bCs/>
          <w:spacing w:val="4"/>
        </w:rPr>
        <w:t xml:space="preserve">: Choczewo/Władysławowo </w:t>
      </w:r>
      <w:r w:rsidR="00DB5235" w:rsidRPr="007E08F7">
        <w:rPr>
          <w:rFonts w:asciiTheme="minorHAnsi" w:eastAsia="Aptos" w:hAnsiTheme="minorHAnsi" w:cs="Aptos"/>
          <w:bCs/>
          <w:spacing w:val="4"/>
        </w:rPr>
        <w:t>–</w:t>
      </w:r>
      <w:r w:rsidRPr="007E08F7">
        <w:rPr>
          <w:rFonts w:asciiTheme="minorHAnsi" w:eastAsia="Aptos" w:hAnsiTheme="minorHAnsi" w:cs="Aptos"/>
          <w:bCs/>
          <w:spacing w:val="4"/>
        </w:rPr>
        <w:t xml:space="preserve"> Gdynia Główna – Tczew – Bydgoszcz Główna</w:t>
      </w:r>
      <w:r w:rsidRPr="007E08F7">
        <w:rPr>
          <w:rFonts w:asciiTheme="minorHAnsi" w:eastAsia="Aptos" w:hAnsiTheme="minorHAnsi"/>
        </w:rPr>
        <w:t xml:space="preserve"> – Inowrocław – Zduńska Wola – Górnośląsko-Zagłębiowska </w:t>
      </w:r>
      <w:r w:rsidRPr="007E08F7">
        <w:rPr>
          <w:rFonts w:asciiTheme="minorHAnsi" w:eastAsia="Aptos" w:hAnsiTheme="minorHAnsi"/>
        </w:rPr>
        <w:softHyphen/>
        <w:t xml:space="preserve">Metropolia oraz Tczew – Malbork </w:t>
      </w:r>
      <w:r w:rsidR="00DB5235" w:rsidRPr="007E08F7">
        <w:rPr>
          <w:rFonts w:asciiTheme="minorHAnsi" w:eastAsia="Aptos" w:hAnsiTheme="minorHAnsi"/>
        </w:rPr>
        <w:t>–</w:t>
      </w:r>
      <w:r w:rsidRPr="007E08F7">
        <w:rPr>
          <w:rFonts w:asciiTheme="minorHAnsi" w:eastAsia="Aptos" w:hAnsiTheme="minorHAnsi"/>
        </w:rPr>
        <w:t xml:space="preserve"> Warszawa</w:t>
      </w:r>
      <w:r w:rsidRPr="007E08F7">
        <w:rPr>
          <w:rFonts w:asciiTheme="minorHAnsi" w:eastAsia="Aptos" w:hAnsiTheme="minorHAnsi" w:cs="Aptos"/>
          <w:bCs/>
          <w:spacing w:val="4"/>
        </w:rPr>
        <w:t>;</w:t>
      </w:r>
    </w:p>
    <w:p w14:paraId="027070C4" w14:textId="77777777"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energetyczne: związane z budowaną w regionie pierwszą polską elektrownią jądrową w Choczewie, rozbudowywaną siecią morskich farm wiatrowych na polskich obszarach morskich oraz funkcjonującymi terminalami - gazowym na wodach Zatoki Gdańskiej (FRSU) oraz naftowym w </w:t>
      </w:r>
      <w:proofErr w:type="spellStart"/>
      <w:r w:rsidRPr="007E08F7">
        <w:rPr>
          <w:rFonts w:asciiTheme="minorHAnsi" w:eastAsia="Aptos" w:hAnsiTheme="minorHAnsi" w:cs="Aptos"/>
          <w:bCs/>
          <w:spacing w:val="4"/>
        </w:rPr>
        <w:t>Naftoporcie</w:t>
      </w:r>
      <w:proofErr w:type="spellEnd"/>
      <w:r w:rsidRPr="007E08F7">
        <w:rPr>
          <w:rFonts w:asciiTheme="minorHAnsi" w:eastAsia="Aptos" w:hAnsiTheme="minorHAnsi" w:cs="Aptos"/>
          <w:bCs/>
          <w:spacing w:val="4"/>
        </w:rPr>
        <w:t xml:space="preserve"> w Gdańsku; towarzyszą temu inwestycje liniowe związane z rozbudową systemów krajowej sieci przesyłowej elektroenergetycznej oraz gazu i produktów naftowych; </w:t>
      </w:r>
    </w:p>
    <w:p w14:paraId="2EA2B80A" w14:textId="63FFDA59" w:rsidR="00E32496" w:rsidRPr="007E08F7" w:rsidRDefault="00E32496" w:rsidP="00467635">
      <w:pPr>
        <w:pStyle w:val="Akapitzlist"/>
        <w:spacing w:before="120" w:after="120" w:line="288" w:lineRule="auto"/>
        <w:ind w:left="1247"/>
        <w:rPr>
          <w:rFonts w:asciiTheme="minorHAnsi" w:eastAsia="Aptos" w:hAnsiTheme="minorHAnsi" w:cs="Aptos"/>
          <w:bCs/>
          <w:spacing w:val="4"/>
        </w:rPr>
      </w:pPr>
      <w:r w:rsidRPr="007E08F7">
        <w:rPr>
          <w:rFonts w:asciiTheme="minorHAnsi" w:eastAsia="Aptos" w:hAnsiTheme="minorHAnsi" w:cs="Aptos"/>
          <w:bCs/>
          <w:spacing w:val="4"/>
        </w:rPr>
        <w:t xml:space="preserve">Pasmo Centralne, a zwłaszcza jego północna część, staje się obszarem kształtowania pomorskiego </w:t>
      </w:r>
      <w:proofErr w:type="spellStart"/>
      <w:r w:rsidRPr="007E08F7">
        <w:rPr>
          <w:rFonts w:asciiTheme="minorHAnsi" w:eastAsia="Aptos" w:hAnsiTheme="minorHAnsi" w:cs="Aptos"/>
          <w:bCs/>
          <w:spacing w:val="4"/>
        </w:rPr>
        <w:t>hubu</w:t>
      </w:r>
      <w:proofErr w:type="spellEnd"/>
      <w:r w:rsidRPr="007E08F7">
        <w:rPr>
          <w:rFonts w:asciiTheme="minorHAnsi" w:eastAsia="Aptos" w:hAnsiTheme="minorHAnsi" w:cs="Aptos"/>
          <w:bCs/>
          <w:spacing w:val="4"/>
        </w:rPr>
        <w:t xml:space="preserve"> paliwowo-energetycznego oraz rozwoju aktywności gospodarczych związanych z rosnącym znaczeniem portów morskich Gdańska i Gdyni kształtujących podstawy rozwoju </w:t>
      </w:r>
      <w:proofErr w:type="spellStart"/>
      <w:r w:rsidRPr="007E08F7">
        <w:rPr>
          <w:rFonts w:asciiTheme="minorHAnsi" w:eastAsia="Aptos" w:hAnsiTheme="minorHAnsi" w:cs="Aptos"/>
          <w:bCs/>
          <w:spacing w:val="4"/>
        </w:rPr>
        <w:t>hubu</w:t>
      </w:r>
      <w:proofErr w:type="spellEnd"/>
      <w:r w:rsidRPr="007E08F7">
        <w:rPr>
          <w:rFonts w:asciiTheme="minorHAnsi" w:eastAsia="Aptos" w:hAnsiTheme="minorHAnsi" w:cs="Aptos"/>
          <w:bCs/>
          <w:spacing w:val="4"/>
        </w:rPr>
        <w:t xml:space="preserve"> transportowo-logistycznego; istotnym czynnikiem jego rozwoju jest powiązany z nimi terminal intermodalny w Zajączkowie Tczewskim; czynniki te oraz uwarunkowania społeczno-gospodarcze Trójmiasta pozwalają rozwijać produkcje i innowacje w sektorach chemicznym, petrochemicznym i</w:t>
      </w:r>
      <w:r w:rsidR="00DB5235" w:rsidRPr="007E08F7">
        <w:rPr>
          <w:rFonts w:asciiTheme="minorHAnsi" w:eastAsia="Aptos" w:hAnsiTheme="minorHAnsi" w:cs="Aptos"/>
          <w:bCs/>
          <w:spacing w:val="4"/>
        </w:rPr>
        <w:t> </w:t>
      </w:r>
      <w:r w:rsidRPr="007E08F7">
        <w:rPr>
          <w:rFonts w:asciiTheme="minorHAnsi" w:eastAsia="Aptos" w:hAnsiTheme="minorHAnsi" w:cs="Aptos"/>
          <w:bCs/>
          <w:spacing w:val="4"/>
        </w:rPr>
        <w:t>wysokich technologii; ważnym czynnikiem rozwojowym obszaru będą także warunki zasilania (największa efektywność energetyczna i najszybsze dostarczenie pełnej wnioskowanej mocy), które występować będą w</w:t>
      </w:r>
      <w:r w:rsidR="00DB5235" w:rsidRPr="007E08F7">
        <w:rPr>
          <w:rFonts w:asciiTheme="minorHAnsi" w:eastAsia="Aptos" w:hAnsiTheme="minorHAnsi" w:cs="Aptos"/>
          <w:bCs/>
          <w:spacing w:val="4"/>
        </w:rPr>
        <w:t> </w:t>
      </w:r>
      <w:r w:rsidRPr="007E08F7">
        <w:rPr>
          <w:rFonts w:asciiTheme="minorHAnsi" w:eastAsia="Aptos" w:hAnsiTheme="minorHAnsi" w:cs="Aptos"/>
          <w:bCs/>
          <w:spacing w:val="4"/>
        </w:rPr>
        <w:t>okolicach Żarnowca, Choczewa i Pelplina;</w:t>
      </w:r>
    </w:p>
    <w:p w14:paraId="337B3140" w14:textId="77777777" w:rsidR="00E32496" w:rsidRPr="007E08F7" w:rsidRDefault="00E32496">
      <w:pPr>
        <w:numPr>
          <w:ilvl w:val="1"/>
          <w:numId w:val="62"/>
        </w:numPr>
        <w:spacing w:before="120" w:after="120" w:line="288" w:lineRule="auto"/>
        <w:rPr>
          <w:rFonts w:asciiTheme="minorHAnsi" w:eastAsia="Aptos" w:hAnsiTheme="minorHAnsi" w:cs="Aptos"/>
          <w:b/>
          <w:bCs/>
          <w:spacing w:val="4"/>
        </w:rPr>
      </w:pPr>
      <w:r w:rsidRPr="007E08F7">
        <w:rPr>
          <w:rFonts w:asciiTheme="minorHAnsi" w:eastAsia="Aptos" w:hAnsiTheme="minorHAnsi" w:cs="Aptos"/>
          <w:b/>
          <w:spacing w:val="4"/>
        </w:rPr>
        <w:t>północne</w:t>
      </w:r>
      <w:r w:rsidRPr="007E08F7">
        <w:rPr>
          <w:rFonts w:asciiTheme="minorHAnsi" w:eastAsia="Aptos" w:hAnsiTheme="minorHAnsi" w:cs="Aptos"/>
          <w:bCs/>
          <w:spacing w:val="4"/>
        </w:rPr>
        <w:t>: obejmujące obszary położone w przebiegu ponadregionalnych powiązań</w:t>
      </w:r>
      <w:r w:rsidRPr="007E08F7">
        <w:rPr>
          <w:rFonts w:asciiTheme="minorHAnsi" w:eastAsia="Aptos" w:hAnsiTheme="minorHAnsi" w:cs="Aptos"/>
          <w:b/>
          <w:bCs/>
          <w:color w:val="EE0000"/>
          <w:spacing w:val="4"/>
        </w:rPr>
        <w:t xml:space="preserve"> </w:t>
      </w:r>
      <w:r w:rsidRPr="007E08F7">
        <w:rPr>
          <w:rFonts w:asciiTheme="minorHAnsi" w:eastAsia="Aptos" w:hAnsiTheme="minorHAnsi" w:cs="Aptos"/>
          <w:spacing w:val="4"/>
        </w:rPr>
        <w:t>transportowych oraz infrastruktury zasilania w energię i paliwa do których należą połączenia</w:t>
      </w:r>
      <w:r w:rsidRPr="007E08F7">
        <w:rPr>
          <w:rFonts w:asciiTheme="minorHAnsi" w:eastAsia="Aptos" w:hAnsiTheme="minorHAnsi" w:cs="Aptos"/>
          <w:bCs/>
          <w:spacing w:val="4"/>
        </w:rPr>
        <w:t>:</w:t>
      </w:r>
    </w:p>
    <w:p w14:paraId="181D3806" w14:textId="120F11AB" w:rsidR="00E32496" w:rsidRPr="007E08F7" w:rsidRDefault="00E32496">
      <w:pPr>
        <w:numPr>
          <w:ilvl w:val="2"/>
          <w:numId w:val="62"/>
        </w:numPr>
        <w:spacing w:before="120" w:after="120" w:line="288" w:lineRule="auto"/>
        <w:rPr>
          <w:rFonts w:asciiTheme="minorHAnsi" w:eastAsia="Aptos" w:hAnsiTheme="minorHAnsi" w:cs="Aptos"/>
          <w:b/>
          <w:bCs/>
          <w:spacing w:val="4"/>
        </w:rPr>
      </w:pPr>
      <w:r w:rsidRPr="007E08F7">
        <w:rPr>
          <w:rFonts w:asciiTheme="minorHAnsi" w:eastAsia="Aptos" w:hAnsiTheme="minorHAnsi"/>
        </w:rPr>
        <w:lastRenderedPageBreak/>
        <w:t xml:space="preserve">drogowe: w standardzie dróg szybkiego ruchu </w:t>
      </w:r>
      <w:r w:rsidRPr="007E08F7">
        <w:rPr>
          <w:rFonts w:asciiTheme="minorHAnsi" w:eastAsia="Aptos" w:hAnsiTheme="minorHAnsi" w:cs="Aptos"/>
          <w:bCs/>
          <w:spacing w:val="4"/>
        </w:rPr>
        <w:t xml:space="preserve">na kierunkach: </w:t>
      </w:r>
      <w:r w:rsidRPr="007E08F7">
        <w:rPr>
          <w:rFonts w:asciiTheme="minorHAnsi" w:eastAsia="Aptos" w:hAnsiTheme="minorHAnsi"/>
        </w:rPr>
        <w:t>gr</w:t>
      </w:r>
      <w:r w:rsidR="00871D4D" w:rsidRPr="007E08F7">
        <w:rPr>
          <w:rFonts w:asciiTheme="minorHAnsi" w:eastAsia="Aptos" w:hAnsiTheme="minorHAnsi"/>
        </w:rPr>
        <w:t>anica</w:t>
      </w:r>
      <w:r w:rsidRPr="007E08F7">
        <w:rPr>
          <w:rFonts w:asciiTheme="minorHAnsi" w:eastAsia="Aptos" w:hAnsiTheme="minorHAnsi"/>
        </w:rPr>
        <w:t xml:space="preserve"> państwa z Niemcami (Kołbaskowo) – Szczecin – Koszalin – Słupsk – Gdynia – Gdańsk</w:t>
      </w:r>
      <w:r w:rsidRPr="007E08F7">
        <w:rPr>
          <w:rFonts w:asciiTheme="minorHAnsi" w:eastAsia="Aptos" w:hAnsiTheme="minorHAnsi" w:cs="Aptos"/>
          <w:bCs/>
          <w:spacing w:val="4"/>
        </w:rPr>
        <w:t xml:space="preserve"> oraz Gdańsk – </w:t>
      </w:r>
      <w:r w:rsidRPr="007E08F7">
        <w:rPr>
          <w:rFonts w:asciiTheme="minorHAnsi" w:eastAsia="Aptos" w:hAnsiTheme="minorHAnsi"/>
        </w:rPr>
        <w:t>Elbląg – Warszawa – Radom – Kielce – Kraków</w:t>
      </w:r>
      <w:r w:rsidRPr="007E08F7">
        <w:rPr>
          <w:rFonts w:asciiTheme="minorHAnsi" w:eastAsia="Aptos" w:hAnsiTheme="minorHAnsi" w:cs="Aptos"/>
          <w:bCs/>
          <w:spacing w:val="4"/>
        </w:rPr>
        <w:t>;</w:t>
      </w:r>
    </w:p>
    <w:p w14:paraId="33FAF481" w14:textId="26F67EEA" w:rsidR="00E32496" w:rsidRPr="007E08F7" w:rsidRDefault="00E32496">
      <w:pPr>
        <w:numPr>
          <w:ilvl w:val="2"/>
          <w:numId w:val="62"/>
        </w:numPr>
        <w:spacing w:before="120" w:after="120" w:line="288" w:lineRule="auto"/>
        <w:rPr>
          <w:rFonts w:asciiTheme="minorHAnsi" w:eastAsia="Aptos" w:hAnsiTheme="minorHAnsi" w:cs="Aptos"/>
          <w:b/>
          <w:bCs/>
          <w:spacing w:val="4"/>
        </w:rPr>
      </w:pPr>
      <w:r w:rsidRPr="007E08F7">
        <w:rPr>
          <w:rFonts w:asciiTheme="minorHAnsi" w:eastAsia="Aptos" w:hAnsiTheme="minorHAnsi" w:cs="Aptos"/>
          <w:bCs/>
          <w:spacing w:val="4"/>
        </w:rPr>
        <w:t xml:space="preserve">kolejowe: </w:t>
      </w:r>
      <w:r w:rsidRPr="007E08F7">
        <w:rPr>
          <w:rFonts w:asciiTheme="minorHAnsi" w:eastAsia="Aptos" w:hAnsiTheme="minorHAnsi"/>
        </w:rPr>
        <w:t>istotne z punktu widzenia kształtowania szkieletowej sieci połączeń w krajowych i międzynarodowych przewozach pasażerskich oraz towarowych na kierunkach</w:t>
      </w:r>
      <w:r w:rsidRPr="007E08F7">
        <w:rPr>
          <w:rFonts w:asciiTheme="minorHAnsi" w:eastAsia="Aptos" w:hAnsiTheme="minorHAnsi" w:cs="Aptos"/>
          <w:bCs/>
          <w:spacing w:val="4"/>
        </w:rPr>
        <w:t xml:space="preserve">: </w:t>
      </w:r>
      <w:r w:rsidRPr="007E08F7">
        <w:rPr>
          <w:rFonts w:asciiTheme="minorHAnsi" w:eastAsia="Aptos" w:hAnsiTheme="minorHAnsi"/>
        </w:rPr>
        <w:t>gr</w:t>
      </w:r>
      <w:r w:rsidR="00871D4D" w:rsidRPr="007E08F7">
        <w:rPr>
          <w:rFonts w:asciiTheme="minorHAnsi" w:eastAsia="Aptos" w:hAnsiTheme="minorHAnsi"/>
        </w:rPr>
        <w:t>anica</w:t>
      </w:r>
      <w:r w:rsidRPr="007E08F7">
        <w:rPr>
          <w:rFonts w:asciiTheme="minorHAnsi" w:eastAsia="Aptos" w:hAnsiTheme="minorHAnsi"/>
        </w:rPr>
        <w:t xml:space="preserve"> państwa z Niemcami (Gumieńce) – Szczecin – Koszalin – Słupsk – Lębork – Wejherowo – Gdynia – Gdańsk</w:t>
      </w:r>
      <w:r w:rsidRPr="007E08F7">
        <w:rPr>
          <w:rFonts w:asciiTheme="minorHAnsi" w:eastAsia="Aptos" w:hAnsiTheme="minorHAnsi" w:cs="Aptos"/>
          <w:bCs/>
          <w:spacing w:val="4"/>
        </w:rPr>
        <w:t xml:space="preserve"> oraz Gdańsk – Nowy Dwór Gdański – Elbląg;</w:t>
      </w:r>
    </w:p>
    <w:p w14:paraId="3D82C6CA" w14:textId="65F8133B" w:rsidR="00E32496" w:rsidRPr="007E08F7" w:rsidRDefault="00E32496">
      <w:pPr>
        <w:numPr>
          <w:ilvl w:val="2"/>
          <w:numId w:val="62"/>
        </w:numPr>
        <w:spacing w:before="120" w:after="120" w:line="288" w:lineRule="auto"/>
        <w:rPr>
          <w:rFonts w:asciiTheme="minorHAnsi" w:eastAsia="Aptos" w:hAnsiTheme="minorHAnsi" w:cs="Aptos"/>
          <w:b/>
          <w:bCs/>
          <w:spacing w:val="4"/>
        </w:rPr>
      </w:pPr>
      <w:r w:rsidRPr="007E08F7">
        <w:rPr>
          <w:rFonts w:asciiTheme="minorHAnsi" w:eastAsia="Aptos" w:hAnsiTheme="minorHAnsi" w:cs="Aptos"/>
          <w:bCs/>
          <w:spacing w:val="4"/>
        </w:rPr>
        <w:t xml:space="preserve">energetyczne: związane z funkcjonowaniem systemów krajowej sieci przesyłowej elektroenergetycznej oraz rozbudowywaną infrastrukturą wyprowadzenia mocy z morskich farm wiatrowych na polskich obszarach morskich oraz magazynowania energii elektrycznej, a także gazociągu wysokiego ciśnienia prowadzącego z terminalu </w:t>
      </w:r>
      <w:proofErr w:type="spellStart"/>
      <w:r w:rsidRPr="007E08F7">
        <w:rPr>
          <w:rFonts w:asciiTheme="minorHAnsi" w:eastAsia="Aptos" w:hAnsiTheme="minorHAnsi" w:cs="Aptos"/>
          <w:bCs/>
          <w:spacing w:val="4"/>
        </w:rPr>
        <w:t>regazyfikacyjnego</w:t>
      </w:r>
      <w:proofErr w:type="spellEnd"/>
      <w:r w:rsidRPr="007E08F7">
        <w:rPr>
          <w:rFonts w:asciiTheme="minorHAnsi" w:eastAsia="Aptos" w:hAnsiTheme="minorHAnsi" w:cs="Aptos"/>
          <w:bCs/>
          <w:spacing w:val="4"/>
        </w:rPr>
        <w:t xml:space="preserve"> w</w:t>
      </w:r>
      <w:r w:rsidR="00DB5235" w:rsidRPr="007E08F7">
        <w:rPr>
          <w:rFonts w:asciiTheme="minorHAnsi" w:eastAsia="Aptos" w:hAnsiTheme="minorHAnsi" w:cs="Aptos"/>
          <w:bCs/>
          <w:spacing w:val="4"/>
        </w:rPr>
        <w:t> </w:t>
      </w:r>
      <w:r w:rsidRPr="007E08F7">
        <w:rPr>
          <w:rFonts w:asciiTheme="minorHAnsi" w:eastAsia="Aptos" w:hAnsiTheme="minorHAnsi" w:cs="Aptos"/>
          <w:bCs/>
          <w:spacing w:val="4"/>
        </w:rPr>
        <w:t xml:space="preserve">Świnoujściu; </w:t>
      </w:r>
    </w:p>
    <w:p w14:paraId="5D1109A0" w14:textId="77777777" w:rsidR="00E32496" w:rsidRPr="007E08F7" w:rsidRDefault="00E32496" w:rsidP="00467635">
      <w:pPr>
        <w:pStyle w:val="Akapitzlist"/>
        <w:spacing w:before="120" w:after="120" w:line="288" w:lineRule="auto"/>
        <w:ind w:left="1247"/>
        <w:rPr>
          <w:rFonts w:asciiTheme="minorHAnsi" w:eastAsia="Aptos" w:hAnsiTheme="minorHAnsi" w:cs="Aptos"/>
          <w:b/>
          <w:bCs/>
          <w:spacing w:val="4"/>
        </w:rPr>
      </w:pPr>
      <w:r w:rsidRPr="007E08F7">
        <w:rPr>
          <w:rFonts w:asciiTheme="minorHAnsi" w:eastAsia="Aptos" w:hAnsiTheme="minorHAnsi" w:cs="Aptos"/>
          <w:bCs/>
          <w:spacing w:val="4"/>
        </w:rPr>
        <w:t>Pasmo północne jest obszarem rozwoju aktywności gospodarczych związanych z rozwojem sektorów o wysokim zapotrzebowaniu na energię elektryczną (centra danych), ale także produkcji energii ze źródeł odnawialnych na lądzie; bezpieczeństwo i niezawodność dostaw energii elektrycznej (największa efektywność energetyczna i najszybsze dostarczenie pełnej wnioskowanej mocy) będzie także czynnikiem rozwojowym obszaru w okolicach Słupska; ważną rolę pasma pełnić będą także regionalne porty morskie (m.in. Ustka i Łeba), które są portami serwisowymi dla morskiej energetyki wiatrowej; uzupełniającą funkcją pasma jest także sektor rolnictwa i przetwórstwa rolno-spożywczego;</w:t>
      </w:r>
    </w:p>
    <w:p w14:paraId="71AB1B95" w14:textId="77777777" w:rsidR="00E32496" w:rsidRPr="007E08F7" w:rsidRDefault="00E32496">
      <w:pPr>
        <w:numPr>
          <w:ilvl w:val="1"/>
          <w:numId w:val="62"/>
        </w:numPr>
        <w:spacing w:before="120" w:after="120" w:line="288" w:lineRule="auto"/>
        <w:rPr>
          <w:rFonts w:asciiTheme="minorHAnsi" w:eastAsia="Aptos" w:hAnsiTheme="minorHAnsi" w:cs="Aptos"/>
          <w:b/>
          <w:bCs/>
          <w:spacing w:val="4"/>
        </w:rPr>
      </w:pPr>
      <w:r w:rsidRPr="007E08F7">
        <w:rPr>
          <w:rFonts w:asciiTheme="minorHAnsi" w:eastAsia="Aptos" w:hAnsiTheme="minorHAnsi" w:cs="Aptos"/>
          <w:b/>
          <w:spacing w:val="4"/>
        </w:rPr>
        <w:t>południowe:</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obejmujące obszary położone w przebiegu ponadregionalnych połączeń</w:t>
      </w:r>
      <w:r w:rsidRPr="007E08F7">
        <w:rPr>
          <w:rFonts w:asciiTheme="minorHAnsi" w:eastAsia="Aptos" w:hAnsiTheme="minorHAnsi" w:cs="Aptos"/>
          <w:b/>
          <w:bCs/>
          <w:color w:val="EE0000"/>
          <w:spacing w:val="4"/>
        </w:rPr>
        <w:t xml:space="preserve"> </w:t>
      </w:r>
      <w:r w:rsidRPr="007E08F7">
        <w:rPr>
          <w:rFonts w:asciiTheme="minorHAnsi" w:eastAsia="Aptos" w:hAnsiTheme="minorHAnsi" w:cs="Aptos"/>
          <w:spacing w:val="4"/>
        </w:rPr>
        <w:t>transportowych, do których należą powiązania</w:t>
      </w:r>
      <w:r w:rsidRPr="007E08F7">
        <w:rPr>
          <w:rFonts w:asciiTheme="minorHAnsi" w:eastAsia="Aptos" w:hAnsiTheme="minorHAnsi" w:cs="Aptos"/>
          <w:bCs/>
          <w:spacing w:val="4"/>
        </w:rPr>
        <w:t>:</w:t>
      </w:r>
    </w:p>
    <w:p w14:paraId="4C4E28E0" w14:textId="77777777" w:rsidR="00E32496" w:rsidRPr="007E08F7" w:rsidRDefault="00E32496">
      <w:pPr>
        <w:numPr>
          <w:ilvl w:val="2"/>
          <w:numId w:val="62"/>
        </w:numPr>
        <w:tabs>
          <w:tab w:val="left" w:pos="1134"/>
        </w:tabs>
        <w:spacing w:before="120" w:after="120" w:line="288" w:lineRule="auto"/>
        <w:rPr>
          <w:rFonts w:asciiTheme="minorHAnsi" w:eastAsia="Aptos" w:hAnsiTheme="minorHAnsi" w:cs="Aptos"/>
          <w:b/>
          <w:bCs/>
          <w:spacing w:val="4"/>
        </w:rPr>
      </w:pPr>
      <w:r w:rsidRPr="007E08F7">
        <w:rPr>
          <w:rFonts w:asciiTheme="minorHAnsi" w:eastAsia="Aptos" w:hAnsiTheme="minorHAnsi" w:cs="Aptos"/>
          <w:bCs/>
          <w:spacing w:val="4"/>
        </w:rPr>
        <w:t xml:space="preserve">drogowe: </w:t>
      </w:r>
      <w:r w:rsidRPr="007E08F7">
        <w:rPr>
          <w:rFonts w:asciiTheme="minorHAnsi" w:eastAsia="Aptos" w:hAnsiTheme="minorHAnsi"/>
        </w:rPr>
        <w:t>w standardzie dróg ruchu</w:t>
      </w:r>
      <w:r w:rsidRPr="007E08F7">
        <w:rPr>
          <w:rFonts w:asciiTheme="minorHAnsi" w:eastAsia="Aptos" w:hAnsiTheme="minorHAnsi" w:cs="Aptos"/>
          <w:bCs/>
          <w:spacing w:val="4"/>
        </w:rPr>
        <w:t xml:space="preserve"> przyspieszonego na kierunku: Elbląg – Malbork – Tczew – Starogard Gdański – Czersk – Chojnice – Człuchów – Wałcz – Kostrzyn);</w:t>
      </w:r>
    </w:p>
    <w:p w14:paraId="6D82FC0E" w14:textId="0F095037" w:rsidR="00E32496" w:rsidRPr="007E08F7" w:rsidRDefault="00E32496">
      <w:pPr>
        <w:numPr>
          <w:ilvl w:val="2"/>
          <w:numId w:val="62"/>
        </w:numPr>
        <w:tabs>
          <w:tab w:val="left" w:pos="1134"/>
        </w:tabs>
        <w:spacing w:before="120" w:after="120" w:line="288" w:lineRule="auto"/>
        <w:rPr>
          <w:rFonts w:asciiTheme="minorHAnsi" w:eastAsia="Aptos" w:hAnsiTheme="minorHAnsi" w:cs="Aptos"/>
          <w:b/>
          <w:bCs/>
          <w:spacing w:val="4"/>
        </w:rPr>
      </w:pPr>
      <w:r w:rsidRPr="007E08F7">
        <w:rPr>
          <w:rFonts w:asciiTheme="minorHAnsi" w:eastAsia="Aptos" w:hAnsiTheme="minorHAnsi"/>
        </w:rPr>
        <w:t>kolejowe: ważne z punktu widzenia kształtowania spójności przestrzennej sieci połączeń w krajowych i międzynarodowych przewozach pasażerskich i</w:t>
      </w:r>
      <w:r w:rsidR="00DB5235" w:rsidRPr="007E08F7">
        <w:rPr>
          <w:rFonts w:asciiTheme="minorHAnsi" w:eastAsia="Aptos" w:hAnsiTheme="minorHAnsi"/>
        </w:rPr>
        <w:t> </w:t>
      </w:r>
      <w:r w:rsidRPr="007E08F7">
        <w:rPr>
          <w:rFonts w:asciiTheme="minorHAnsi" w:eastAsia="Aptos" w:hAnsiTheme="minorHAnsi"/>
        </w:rPr>
        <w:t>towarowych</w:t>
      </w:r>
      <w:r w:rsidRPr="007E08F7">
        <w:rPr>
          <w:rFonts w:asciiTheme="minorHAnsi" w:eastAsia="Aptos" w:hAnsiTheme="minorHAnsi" w:cs="Aptos"/>
          <w:bCs/>
          <w:spacing w:val="4"/>
        </w:rPr>
        <w:t xml:space="preserve"> na kierunkach: </w:t>
      </w:r>
      <w:r w:rsidRPr="007E08F7">
        <w:rPr>
          <w:rFonts w:asciiTheme="minorHAnsi" w:eastAsia="Aptos" w:hAnsiTheme="minorHAnsi"/>
        </w:rPr>
        <w:t>gr</w:t>
      </w:r>
      <w:r w:rsidR="003B2111" w:rsidRPr="007E08F7">
        <w:rPr>
          <w:rFonts w:asciiTheme="minorHAnsi" w:eastAsia="Aptos" w:hAnsiTheme="minorHAnsi"/>
        </w:rPr>
        <w:t>anica</w:t>
      </w:r>
      <w:r w:rsidRPr="007E08F7">
        <w:rPr>
          <w:rFonts w:asciiTheme="minorHAnsi" w:eastAsia="Aptos" w:hAnsiTheme="minorHAnsi"/>
        </w:rPr>
        <w:t xml:space="preserve"> państwa z Niemcami (Kostrzyn) – Gorzów Wielkopolski – Piła – Chojnice – Tczew – </w:t>
      </w:r>
      <w:r w:rsidRPr="007E08F7">
        <w:rPr>
          <w:rFonts w:asciiTheme="minorHAnsi" w:eastAsia="Aptos" w:hAnsiTheme="minorHAnsi" w:cs="Aptos"/>
          <w:bCs/>
          <w:spacing w:val="4"/>
        </w:rPr>
        <w:t xml:space="preserve">Malbork – Elbląg – </w:t>
      </w:r>
      <w:r w:rsidRPr="007E08F7">
        <w:rPr>
          <w:rFonts w:asciiTheme="minorHAnsi" w:eastAsia="Aptos" w:hAnsiTheme="minorHAnsi"/>
        </w:rPr>
        <w:t>gr</w:t>
      </w:r>
      <w:r w:rsidR="00871D4D" w:rsidRPr="007E08F7">
        <w:rPr>
          <w:rFonts w:asciiTheme="minorHAnsi" w:eastAsia="Aptos" w:hAnsiTheme="minorHAnsi"/>
        </w:rPr>
        <w:t xml:space="preserve">anica </w:t>
      </w:r>
      <w:r w:rsidRPr="007E08F7">
        <w:rPr>
          <w:rFonts w:asciiTheme="minorHAnsi" w:eastAsia="Aptos" w:hAnsiTheme="minorHAnsi"/>
        </w:rPr>
        <w:t>państwa z Rosją (Grzechotki)</w:t>
      </w:r>
      <w:r w:rsidRPr="007E08F7">
        <w:rPr>
          <w:rFonts w:asciiTheme="minorHAnsi" w:eastAsia="Aptos" w:hAnsiTheme="minorHAnsi" w:cs="Aptos"/>
          <w:bCs/>
          <w:spacing w:val="4"/>
        </w:rPr>
        <w:t>;</w:t>
      </w:r>
    </w:p>
    <w:p w14:paraId="550C8764" w14:textId="17E4A845" w:rsidR="00E32496" w:rsidRPr="007E08F7" w:rsidRDefault="00E32496" w:rsidP="00467635">
      <w:pPr>
        <w:pStyle w:val="Akapitzlist"/>
        <w:tabs>
          <w:tab w:val="left" w:pos="1134"/>
        </w:tabs>
        <w:spacing w:before="120" w:after="120" w:line="288" w:lineRule="auto"/>
        <w:ind w:left="1247"/>
        <w:rPr>
          <w:rFonts w:asciiTheme="minorHAnsi" w:eastAsia="Aptos" w:hAnsiTheme="minorHAnsi" w:cs="Aptos"/>
          <w:bCs/>
          <w:spacing w:val="4"/>
        </w:rPr>
      </w:pPr>
      <w:r w:rsidRPr="007E08F7">
        <w:rPr>
          <w:rFonts w:asciiTheme="minorHAnsi" w:eastAsia="Aptos" w:hAnsiTheme="minorHAnsi" w:cs="Aptos"/>
          <w:bCs/>
          <w:spacing w:val="4"/>
        </w:rPr>
        <w:t xml:space="preserve">Pasmo południowe będzie obszarem zróżnicowanych aktywności gospodarczych zarówno nowoczesnych technologii skoncentrowanych </w:t>
      </w:r>
      <w:r w:rsidRPr="007E08F7">
        <w:rPr>
          <w:rFonts w:asciiTheme="minorHAnsi" w:eastAsia="Aptos" w:hAnsiTheme="minorHAnsi" w:cs="Aptos"/>
          <w:bCs/>
          <w:spacing w:val="4"/>
        </w:rPr>
        <w:lastRenderedPageBreak/>
        <w:t>w</w:t>
      </w:r>
      <w:r w:rsidR="00DB5235" w:rsidRPr="007E08F7">
        <w:rPr>
          <w:rFonts w:asciiTheme="minorHAnsi" w:eastAsia="Aptos" w:hAnsiTheme="minorHAnsi" w:cs="Aptos"/>
          <w:bCs/>
          <w:spacing w:val="4"/>
        </w:rPr>
        <w:t> </w:t>
      </w:r>
      <w:r w:rsidRPr="007E08F7">
        <w:rPr>
          <w:rFonts w:asciiTheme="minorHAnsi" w:eastAsia="Aptos" w:hAnsiTheme="minorHAnsi" w:cs="Aptos"/>
          <w:bCs/>
          <w:spacing w:val="4"/>
        </w:rPr>
        <w:t xml:space="preserve">ośrodkach miejskich w sektorach: farmaceutyczno-kosmetologicznym (Starogard Gdański), </w:t>
      </w:r>
      <w:proofErr w:type="spellStart"/>
      <w:r w:rsidRPr="007E08F7">
        <w:rPr>
          <w:rFonts w:asciiTheme="minorHAnsi" w:eastAsia="Aptos" w:hAnsiTheme="minorHAnsi" w:cs="Aptos"/>
          <w:bCs/>
          <w:spacing w:val="4"/>
        </w:rPr>
        <w:t>drzewno</w:t>
      </w:r>
      <w:proofErr w:type="spellEnd"/>
      <w:r w:rsidRPr="007E08F7">
        <w:rPr>
          <w:rFonts w:asciiTheme="minorHAnsi" w:eastAsia="Aptos" w:hAnsiTheme="minorHAnsi" w:cs="Aptos"/>
          <w:bCs/>
          <w:spacing w:val="4"/>
        </w:rPr>
        <w:t xml:space="preserve">-meblarskim (Chojnice), przetwórstwie rolno-spożywczym (Człuchów i Malbork); do szczególnych obszarów rozwojowych należeć będą okolice Chojnic, Człuchowa i Starogardu Gdańskiego, gdzie warunki zasilania zapewniać </w:t>
      </w:r>
      <w:r w:rsidR="00140D43" w:rsidRPr="007E08F7">
        <w:rPr>
          <w:rFonts w:asciiTheme="minorHAnsi" w:eastAsia="Aptos" w:hAnsiTheme="minorHAnsi" w:cs="Aptos"/>
          <w:bCs/>
          <w:spacing w:val="4"/>
        </w:rPr>
        <w:t>będą</w:t>
      </w:r>
      <w:r w:rsidRPr="007E08F7">
        <w:rPr>
          <w:rFonts w:asciiTheme="minorHAnsi" w:eastAsia="Aptos" w:hAnsiTheme="minorHAnsi" w:cs="Aptos"/>
          <w:bCs/>
          <w:spacing w:val="4"/>
        </w:rPr>
        <w:t xml:space="preserve"> wysoką efektywność energetyczną i</w:t>
      </w:r>
      <w:r w:rsidR="00DB5235" w:rsidRPr="007E08F7">
        <w:rPr>
          <w:rFonts w:asciiTheme="minorHAnsi" w:eastAsia="Aptos" w:hAnsiTheme="minorHAnsi" w:cs="Aptos"/>
          <w:bCs/>
          <w:spacing w:val="4"/>
        </w:rPr>
        <w:t> </w:t>
      </w:r>
      <w:r w:rsidRPr="007E08F7">
        <w:rPr>
          <w:rFonts w:asciiTheme="minorHAnsi" w:eastAsia="Aptos" w:hAnsiTheme="minorHAnsi" w:cs="Aptos"/>
          <w:bCs/>
          <w:spacing w:val="4"/>
        </w:rPr>
        <w:t xml:space="preserve">szybkie dostarczenie pełnej wnioskowanej mocy; </w:t>
      </w:r>
    </w:p>
    <w:p w14:paraId="5CB2ED27" w14:textId="77777777" w:rsidR="00E32496" w:rsidRPr="007E08F7" w:rsidRDefault="00E32496">
      <w:pPr>
        <w:numPr>
          <w:ilvl w:val="0"/>
          <w:numId w:val="62"/>
        </w:numPr>
        <w:spacing w:before="120" w:after="120" w:line="288" w:lineRule="auto"/>
        <w:rPr>
          <w:rFonts w:asciiTheme="minorHAnsi" w:eastAsia="Aptos" w:hAnsiTheme="minorHAnsi" w:cs="Aptos"/>
          <w:b/>
          <w:bCs/>
          <w:spacing w:val="4"/>
        </w:rPr>
      </w:pPr>
      <w:r w:rsidRPr="007E08F7">
        <w:rPr>
          <w:rFonts w:asciiTheme="minorHAnsi" w:eastAsia="Aptos" w:hAnsiTheme="minorHAnsi" w:cs="Aptos"/>
          <w:b/>
          <w:bCs/>
          <w:spacing w:val="4"/>
        </w:rPr>
        <w:t xml:space="preserve">pasma rozwojowe o znaczeniu regionalnym, których potencjał związany jest w szczególności z przebiegiem regionalnej infrastruktury transportowej, </w:t>
      </w:r>
      <w:r w:rsidRPr="007E08F7">
        <w:rPr>
          <w:rFonts w:asciiTheme="minorHAnsi" w:eastAsia="Aptos" w:hAnsiTheme="minorHAnsi" w:cs="Aptos"/>
          <w:bCs/>
          <w:spacing w:val="4"/>
        </w:rPr>
        <w:t>czynniki rozwojowe w tych obszarach będą bardziej rozproszone, a strefy gospodarcze koncentrować się będą w ośrodkach osadniczych; należą do nich pasma:</w:t>
      </w:r>
    </w:p>
    <w:p w14:paraId="5740EB9A"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kaszubskie:</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obejmujące obszary położone w przebiegu regionalnych połączeń</w:t>
      </w:r>
      <w:r w:rsidRPr="007E08F7">
        <w:rPr>
          <w:rFonts w:asciiTheme="minorHAnsi" w:eastAsia="Aptos" w:hAnsiTheme="minorHAnsi" w:cs="Aptos"/>
          <w:spacing w:val="4"/>
        </w:rPr>
        <w:t xml:space="preserve"> transportowych, do których należą powiązania</w:t>
      </w:r>
      <w:r w:rsidRPr="007E08F7">
        <w:rPr>
          <w:rFonts w:asciiTheme="minorHAnsi" w:eastAsia="Aptos" w:hAnsiTheme="minorHAnsi" w:cs="Aptos"/>
          <w:bCs/>
          <w:spacing w:val="4"/>
        </w:rPr>
        <w:t>:</w:t>
      </w:r>
    </w:p>
    <w:p w14:paraId="709B4524" w14:textId="6097470C"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drogowe: </w:t>
      </w:r>
      <w:r w:rsidRPr="007E08F7">
        <w:rPr>
          <w:rFonts w:asciiTheme="minorHAnsi" w:eastAsia="Aptos" w:hAnsiTheme="minorHAnsi"/>
        </w:rPr>
        <w:t xml:space="preserve">w standardzie dróg o wysokiej przepustowości </w:t>
      </w:r>
      <w:r w:rsidRPr="007E08F7">
        <w:rPr>
          <w:rFonts w:asciiTheme="minorHAnsi" w:eastAsia="Aptos" w:hAnsiTheme="minorHAnsi" w:cs="Aptos"/>
          <w:bCs/>
          <w:spacing w:val="4"/>
        </w:rPr>
        <w:t>na kierunku</w:t>
      </w:r>
      <w:r w:rsidRPr="007E08F7">
        <w:rPr>
          <w:rFonts w:asciiTheme="minorHAnsi" w:eastAsia="Aptos" w:hAnsiTheme="minorHAnsi"/>
        </w:rPr>
        <w:t xml:space="preserve">: Łeba </w:t>
      </w:r>
      <w:r w:rsidR="00DB5235" w:rsidRPr="007E08F7">
        <w:rPr>
          <w:rFonts w:asciiTheme="minorHAnsi" w:eastAsia="Aptos" w:hAnsiTheme="minorHAnsi"/>
        </w:rPr>
        <w:t xml:space="preserve">– </w:t>
      </w:r>
      <w:r w:rsidRPr="007E08F7">
        <w:rPr>
          <w:rFonts w:asciiTheme="minorHAnsi" w:eastAsia="Aptos" w:hAnsiTheme="minorHAnsi" w:cs="Aptos"/>
          <w:bCs/>
          <w:spacing w:val="4"/>
        </w:rPr>
        <w:t>Lębork – Kościerzyna – Chojnice – Tuchola;</w:t>
      </w:r>
    </w:p>
    <w:p w14:paraId="0FB859E3" w14:textId="721D76AE"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kolejowe: </w:t>
      </w:r>
      <w:r w:rsidRPr="007E08F7">
        <w:rPr>
          <w:rFonts w:asciiTheme="minorHAnsi" w:eastAsia="Aptos" w:hAnsiTheme="minorHAnsi"/>
        </w:rPr>
        <w:t>ważne z punktu widzenia kształtowania szkieletowej sieci połączeń krajowych i regionalnych w przewozach pasażerskich i towarowych na kierunkach</w:t>
      </w:r>
      <w:r w:rsidRPr="007E08F7">
        <w:rPr>
          <w:rFonts w:asciiTheme="minorHAnsi" w:eastAsia="Aptos" w:hAnsiTheme="minorHAnsi" w:cs="Aptos"/>
          <w:bCs/>
          <w:spacing w:val="4"/>
        </w:rPr>
        <w:t xml:space="preserve">: Łeba – Lębork – Kartuzy – Somonino – </w:t>
      </w:r>
      <w:r w:rsidRPr="007E08F7">
        <w:rPr>
          <w:rFonts w:asciiTheme="minorHAnsi" w:eastAsia="Aptos" w:hAnsiTheme="minorHAnsi"/>
        </w:rPr>
        <w:t>Kościerzyna – Bydgoszcz,</w:t>
      </w:r>
      <w:r w:rsidRPr="007E08F7">
        <w:rPr>
          <w:rFonts w:asciiTheme="minorHAnsi" w:eastAsia="Aptos" w:hAnsiTheme="minorHAnsi" w:cs="Aptos"/>
          <w:bCs/>
          <w:spacing w:val="4"/>
        </w:rPr>
        <w:t xml:space="preserve"> a także oraz Kościerzyna – Lipusz – Chojnice;</w:t>
      </w:r>
    </w:p>
    <w:p w14:paraId="2E5D0AD8" w14:textId="1EC8DA56" w:rsidR="00E32496" w:rsidRPr="007E08F7" w:rsidRDefault="00E32496" w:rsidP="000473C9">
      <w:pPr>
        <w:pStyle w:val="Akapitzlist"/>
        <w:spacing w:before="120" w:after="120" w:line="288" w:lineRule="auto"/>
        <w:ind w:left="1247"/>
        <w:rPr>
          <w:rFonts w:asciiTheme="minorHAnsi" w:eastAsia="Aptos" w:hAnsiTheme="minorHAnsi" w:cs="Aptos"/>
          <w:bCs/>
          <w:spacing w:val="4"/>
        </w:rPr>
      </w:pPr>
      <w:r w:rsidRPr="007E08F7">
        <w:rPr>
          <w:rFonts w:asciiTheme="minorHAnsi" w:eastAsia="Aptos" w:hAnsiTheme="minorHAnsi" w:cs="Aptos"/>
          <w:bCs/>
          <w:spacing w:val="4"/>
        </w:rPr>
        <w:t>Pasmo kaszubskie jest obszarem rozwoju aktywności gospodarczej związanej z przetwórstwem rolno-spożywczym, obsługą ruchu turystycznego oraz produkcją w sektorze budowlanym; do szczególnych obszarów rozwojowych należeć będą okolice Kościerzyny, gdzie warunki zasilania zapewniać będą wysoką efektywność energetyczną i szybkie dostarczenie pełnej wnioskowanej mocy; istotnym czynnikiem rozwojowym może stać się także terminal intermodalny (suchy port) w Kościerzynie współpracujący z</w:t>
      </w:r>
      <w:r w:rsidR="00DB5235" w:rsidRPr="007E08F7">
        <w:rPr>
          <w:rFonts w:asciiTheme="minorHAnsi" w:eastAsia="Aptos" w:hAnsiTheme="minorHAnsi" w:cs="Aptos"/>
          <w:bCs/>
          <w:spacing w:val="4"/>
        </w:rPr>
        <w:t> </w:t>
      </w:r>
      <w:r w:rsidRPr="007E08F7">
        <w:rPr>
          <w:rFonts w:asciiTheme="minorHAnsi" w:eastAsia="Aptos" w:hAnsiTheme="minorHAnsi" w:cs="Aptos"/>
          <w:bCs/>
          <w:spacing w:val="4"/>
        </w:rPr>
        <w:t>Portem w Gdyni;</w:t>
      </w:r>
    </w:p>
    <w:p w14:paraId="4275CED8"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 xml:space="preserve">środkowo-pojezierne: </w:t>
      </w:r>
      <w:r w:rsidRPr="007E08F7">
        <w:rPr>
          <w:rFonts w:asciiTheme="minorHAnsi" w:eastAsia="Aptos" w:hAnsiTheme="minorHAnsi" w:cs="Aptos"/>
          <w:bCs/>
          <w:spacing w:val="4"/>
        </w:rPr>
        <w:t>obejmujące obszary położone w przebiegu regionalnych połączeń</w:t>
      </w:r>
      <w:r w:rsidRPr="007E08F7">
        <w:rPr>
          <w:rFonts w:asciiTheme="minorHAnsi" w:eastAsia="Aptos" w:hAnsiTheme="minorHAnsi" w:cs="Aptos"/>
          <w:spacing w:val="4"/>
        </w:rPr>
        <w:t xml:space="preserve"> transportowych, do których należą powiązania</w:t>
      </w:r>
      <w:r w:rsidRPr="007E08F7">
        <w:rPr>
          <w:rFonts w:asciiTheme="minorHAnsi" w:eastAsia="Aptos" w:hAnsiTheme="minorHAnsi" w:cs="Aptos"/>
          <w:bCs/>
          <w:spacing w:val="4"/>
        </w:rPr>
        <w:t>:</w:t>
      </w:r>
    </w:p>
    <w:p w14:paraId="3C8D0E29" w14:textId="77777777"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drogowe: </w:t>
      </w:r>
      <w:r w:rsidRPr="007E08F7">
        <w:rPr>
          <w:rFonts w:asciiTheme="minorHAnsi" w:eastAsia="Aptos" w:hAnsiTheme="minorHAnsi"/>
        </w:rPr>
        <w:t xml:space="preserve">w standardzie dróg o wysokiej przepustowości </w:t>
      </w:r>
      <w:r w:rsidRPr="007E08F7">
        <w:rPr>
          <w:rFonts w:asciiTheme="minorHAnsi" w:eastAsia="Aptos" w:hAnsiTheme="minorHAnsi" w:cs="Aptos"/>
          <w:bCs/>
          <w:spacing w:val="4"/>
        </w:rPr>
        <w:t>na kierunku: Gdynia – Żukowo – Kościerzyna – Bytów – Miastko – Biały Bór – Szczecinek;</w:t>
      </w:r>
    </w:p>
    <w:p w14:paraId="0A64FEA2" w14:textId="6415C52B"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kolejowe: ważne</w:t>
      </w:r>
      <w:r w:rsidRPr="007E08F7">
        <w:rPr>
          <w:rFonts w:asciiTheme="minorHAnsi" w:eastAsia="Aptos" w:hAnsiTheme="minorHAnsi"/>
        </w:rPr>
        <w:t xml:space="preserve"> z punktu widzenia kształtowania sieci połączeń w</w:t>
      </w:r>
      <w:r w:rsidR="00E43263" w:rsidRPr="007E08F7">
        <w:rPr>
          <w:rFonts w:asciiTheme="minorHAnsi" w:eastAsia="Aptos" w:hAnsiTheme="minorHAnsi"/>
        </w:rPr>
        <w:t> </w:t>
      </w:r>
      <w:r w:rsidRPr="007E08F7">
        <w:rPr>
          <w:rFonts w:asciiTheme="minorHAnsi" w:eastAsia="Aptos" w:hAnsiTheme="minorHAnsi"/>
        </w:rPr>
        <w:t xml:space="preserve">krajowych i regionalnych przewozach pasażerskich i towarowych, a także </w:t>
      </w:r>
      <w:r w:rsidRPr="007E08F7">
        <w:rPr>
          <w:rFonts w:asciiTheme="minorHAnsi" w:eastAsia="Aptos" w:hAnsiTheme="minorHAnsi"/>
        </w:rPr>
        <w:lastRenderedPageBreak/>
        <w:t>spójności społecznej i przestrzennej regionu na kierunku</w:t>
      </w:r>
      <w:r w:rsidRPr="007E08F7">
        <w:rPr>
          <w:rFonts w:asciiTheme="minorHAnsi" w:eastAsia="Aptos" w:hAnsiTheme="minorHAnsi" w:cs="Aptos"/>
          <w:bCs/>
          <w:spacing w:val="4"/>
        </w:rPr>
        <w:t xml:space="preserve">: Gdynia – </w:t>
      </w:r>
      <w:r w:rsidRPr="007E08F7">
        <w:rPr>
          <w:rFonts w:asciiTheme="minorHAnsi" w:eastAsia="Aptos" w:hAnsiTheme="minorHAnsi"/>
        </w:rPr>
        <w:t xml:space="preserve">Kościerzyna – </w:t>
      </w:r>
      <w:r w:rsidRPr="007E08F7">
        <w:rPr>
          <w:rFonts w:asciiTheme="minorHAnsi" w:eastAsia="Aptos" w:hAnsiTheme="minorHAnsi" w:cs="Aptos"/>
          <w:bCs/>
          <w:spacing w:val="4"/>
        </w:rPr>
        <w:t>Lipusz – Bytów – Korzybie;</w:t>
      </w:r>
    </w:p>
    <w:p w14:paraId="5F89481E" w14:textId="71A022F7" w:rsidR="00E32496" w:rsidRPr="007E08F7" w:rsidRDefault="00E32496" w:rsidP="000473C9">
      <w:pPr>
        <w:pStyle w:val="Akapitzlist"/>
        <w:spacing w:before="120" w:after="120" w:line="288" w:lineRule="auto"/>
        <w:ind w:left="1247"/>
        <w:rPr>
          <w:rFonts w:asciiTheme="minorHAnsi" w:eastAsia="Aptos" w:hAnsiTheme="minorHAnsi" w:cs="Aptos"/>
          <w:bCs/>
          <w:spacing w:val="4"/>
        </w:rPr>
      </w:pPr>
      <w:r w:rsidRPr="007E08F7">
        <w:rPr>
          <w:rFonts w:asciiTheme="minorHAnsi" w:eastAsia="Aptos" w:hAnsiTheme="minorHAnsi" w:cs="Aptos"/>
          <w:bCs/>
          <w:spacing w:val="4"/>
        </w:rPr>
        <w:t xml:space="preserve">Pasmo środkowo-pojezierne jest obszarem rozwoju aktywności gospodarczej związanej z przetwórstwem rolno-spożywczym, obsługą ruchu turystycznego oraz produkcją w sektorze budowlanym; do szczególnych obszarów rozwojowych należeć </w:t>
      </w:r>
      <w:r w:rsidR="003B2111" w:rsidRPr="007E08F7">
        <w:rPr>
          <w:rFonts w:asciiTheme="minorHAnsi" w:eastAsia="Aptos" w:hAnsiTheme="minorHAnsi" w:cs="Aptos"/>
          <w:bCs/>
          <w:spacing w:val="4"/>
        </w:rPr>
        <w:t>będą</w:t>
      </w:r>
      <w:r w:rsidRPr="007E08F7">
        <w:rPr>
          <w:rFonts w:asciiTheme="minorHAnsi" w:eastAsia="Aptos" w:hAnsiTheme="minorHAnsi" w:cs="Aptos"/>
          <w:bCs/>
          <w:spacing w:val="4"/>
        </w:rPr>
        <w:t xml:space="preserve"> okolice Żukowa, Kartuz, Kościerzyny, Bytowa i</w:t>
      </w:r>
      <w:r w:rsidR="00E43263" w:rsidRPr="007E08F7">
        <w:rPr>
          <w:rFonts w:asciiTheme="minorHAnsi" w:eastAsia="Aptos" w:hAnsiTheme="minorHAnsi" w:cs="Aptos"/>
          <w:bCs/>
          <w:spacing w:val="4"/>
        </w:rPr>
        <w:t> </w:t>
      </w:r>
      <w:r w:rsidRPr="007E08F7">
        <w:rPr>
          <w:rFonts w:asciiTheme="minorHAnsi" w:eastAsia="Aptos" w:hAnsiTheme="minorHAnsi" w:cs="Aptos"/>
          <w:bCs/>
          <w:spacing w:val="4"/>
        </w:rPr>
        <w:t xml:space="preserve">Miastka, gdzie warunki zasilania zapewnią wysoką efektywność energetyczną i szybkie dostarczenie pełnej wnioskowanej mocy; </w:t>
      </w:r>
    </w:p>
    <w:p w14:paraId="30A09ABD"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 xml:space="preserve">środkowopomorskie: </w:t>
      </w:r>
      <w:r w:rsidRPr="007E08F7">
        <w:rPr>
          <w:rFonts w:asciiTheme="minorHAnsi" w:eastAsia="Aptos" w:hAnsiTheme="minorHAnsi" w:cs="Aptos"/>
          <w:bCs/>
          <w:spacing w:val="4"/>
        </w:rPr>
        <w:t>obejmujące obszary położone w przebiegu regionalnych połączeń</w:t>
      </w:r>
      <w:r w:rsidRPr="007E08F7">
        <w:rPr>
          <w:rFonts w:asciiTheme="minorHAnsi" w:eastAsia="Aptos" w:hAnsiTheme="minorHAnsi" w:cs="Aptos"/>
          <w:spacing w:val="4"/>
        </w:rPr>
        <w:t xml:space="preserve"> transportowych, do których należą powiązania</w:t>
      </w:r>
      <w:r w:rsidRPr="007E08F7">
        <w:rPr>
          <w:rFonts w:asciiTheme="minorHAnsi" w:eastAsia="Aptos" w:hAnsiTheme="minorHAnsi" w:cs="Aptos"/>
          <w:bCs/>
          <w:spacing w:val="4"/>
        </w:rPr>
        <w:t>:</w:t>
      </w:r>
    </w:p>
    <w:p w14:paraId="1C5D1775" w14:textId="77777777"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drogowe: </w:t>
      </w:r>
      <w:r w:rsidRPr="007E08F7">
        <w:rPr>
          <w:rFonts w:asciiTheme="minorHAnsi" w:eastAsia="Aptos" w:hAnsiTheme="minorHAnsi"/>
        </w:rPr>
        <w:t xml:space="preserve">w standardzie dróg o wysokiej przepustowości </w:t>
      </w:r>
      <w:r w:rsidRPr="007E08F7">
        <w:rPr>
          <w:rFonts w:asciiTheme="minorHAnsi" w:eastAsia="Aptos" w:hAnsiTheme="minorHAnsi" w:cs="Aptos"/>
          <w:bCs/>
          <w:spacing w:val="4"/>
        </w:rPr>
        <w:t>na kierunku: Ustka – Słupsk – Kępice – Miastko – Biały Bór – Człuchów;</w:t>
      </w:r>
    </w:p>
    <w:p w14:paraId="3A59B254" w14:textId="5B36C46B"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kolejowe: ważne</w:t>
      </w:r>
      <w:r w:rsidRPr="007E08F7">
        <w:rPr>
          <w:rFonts w:asciiTheme="minorHAnsi" w:eastAsia="Aptos" w:hAnsiTheme="minorHAnsi"/>
        </w:rPr>
        <w:t xml:space="preserve"> z punktu widzenia kształtowania sieci połączeń w krajowych i regionalnych przewozach pasażerskich i towarowych, a także spójności społecznej i przestrzennej regionu </w:t>
      </w:r>
      <w:r w:rsidRPr="007E08F7">
        <w:rPr>
          <w:rFonts w:asciiTheme="minorHAnsi" w:eastAsia="Aptos" w:hAnsiTheme="minorHAnsi" w:cs="Aptos"/>
          <w:bCs/>
          <w:spacing w:val="4"/>
        </w:rPr>
        <w:t>na kierunku: Ustka – Słupsk – Miastko – Szczecinek – Piła – Poznań;</w:t>
      </w:r>
    </w:p>
    <w:p w14:paraId="1E1B1DA7" w14:textId="77777777" w:rsidR="00E32496" w:rsidRPr="007E08F7" w:rsidRDefault="00E32496" w:rsidP="000473C9">
      <w:pPr>
        <w:pStyle w:val="Akapitzlist"/>
        <w:spacing w:before="120" w:after="120" w:line="288" w:lineRule="auto"/>
        <w:ind w:left="1247"/>
        <w:rPr>
          <w:rFonts w:asciiTheme="minorHAnsi" w:eastAsia="Aptos" w:hAnsiTheme="minorHAnsi" w:cs="Aptos"/>
          <w:bCs/>
          <w:spacing w:val="4"/>
        </w:rPr>
      </w:pPr>
      <w:r w:rsidRPr="007E08F7">
        <w:rPr>
          <w:rFonts w:asciiTheme="minorHAnsi" w:eastAsia="Aptos" w:hAnsiTheme="minorHAnsi" w:cs="Aptos"/>
          <w:bCs/>
          <w:spacing w:val="4"/>
        </w:rPr>
        <w:t xml:space="preserve">Pasmo środkowopomorskie jest obszarem rozwoju aktywności gospodarczej związanej z gospodarką leśną oraz obsługą ruchu turystycznego; w jego sąsiedztwie (województwo zachodniopomorskie) kształtowany jest korytarz drogi ekspresowej nr S11 Koszalin – Szczecinek – Piła – Poznań, który mimo położenia w całości poza granicami województwa, uzupełnia system transportowy regionu i decydować będzie o trwałym włączeniu całego regionu w procesy rozwojowe; </w:t>
      </w:r>
    </w:p>
    <w:p w14:paraId="114D610B" w14:textId="77777777" w:rsidR="00E32496" w:rsidRPr="007E08F7" w:rsidRDefault="00E32496">
      <w:pPr>
        <w:numPr>
          <w:ilvl w:val="1"/>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nadwiślańskie:</w:t>
      </w:r>
      <w:r w:rsidRPr="007E08F7">
        <w:rPr>
          <w:rFonts w:asciiTheme="minorHAnsi" w:eastAsia="Aptos" w:hAnsiTheme="minorHAnsi" w:cs="Aptos"/>
          <w:bCs/>
          <w:spacing w:val="4"/>
        </w:rPr>
        <w:t xml:space="preserve"> obejmujące obszary położone w przebiegu regionalnych połączeń</w:t>
      </w:r>
      <w:r w:rsidRPr="007E08F7">
        <w:rPr>
          <w:rFonts w:asciiTheme="minorHAnsi" w:eastAsia="Aptos" w:hAnsiTheme="minorHAnsi" w:cs="Aptos"/>
          <w:spacing w:val="4"/>
        </w:rPr>
        <w:t xml:space="preserve"> transportowych, do których należą powiązania</w:t>
      </w:r>
      <w:r w:rsidRPr="007E08F7">
        <w:rPr>
          <w:rFonts w:asciiTheme="minorHAnsi" w:eastAsia="Aptos" w:hAnsiTheme="minorHAnsi" w:cs="Aptos"/>
          <w:bCs/>
          <w:spacing w:val="4"/>
        </w:rPr>
        <w:t>:</w:t>
      </w:r>
    </w:p>
    <w:p w14:paraId="6090A083" w14:textId="77777777"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drogowe: </w:t>
      </w:r>
      <w:r w:rsidRPr="007E08F7">
        <w:rPr>
          <w:rFonts w:asciiTheme="minorHAnsi" w:eastAsia="Aptos" w:hAnsiTheme="minorHAnsi"/>
        </w:rPr>
        <w:t xml:space="preserve">w standardzie dróg o wysokiej przepustowości </w:t>
      </w:r>
      <w:r w:rsidRPr="007E08F7">
        <w:rPr>
          <w:rFonts w:asciiTheme="minorHAnsi" w:eastAsia="Aptos" w:hAnsiTheme="minorHAnsi" w:cs="Aptos"/>
          <w:bCs/>
          <w:spacing w:val="4"/>
        </w:rPr>
        <w:t>na kierunku: Nowy Dwór Gdański – Malbork – Sztum – Kwidzyn – Grudziądz;</w:t>
      </w:r>
    </w:p>
    <w:p w14:paraId="276AA04D" w14:textId="77777777" w:rsidR="00E32496" w:rsidRPr="007E08F7" w:rsidRDefault="00E32496">
      <w:pPr>
        <w:numPr>
          <w:ilvl w:val="2"/>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Cs/>
          <w:spacing w:val="4"/>
        </w:rPr>
        <w:t xml:space="preserve">kolejowe: obejmujące zarówno koleje dużych prędkości (200-350 km/h) </w:t>
      </w:r>
      <w:r w:rsidRPr="007E08F7">
        <w:rPr>
          <w:rFonts w:asciiTheme="minorHAnsi" w:eastAsia="Aptos" w:hAnsiTheme="minorHAnsi"/>
        </w:rPr>
        <w:t xml:space="preserve">Warszawa/nowe lotnisko krajowe – Gdańsk (CMK Północ) wraz z równolegle funkcjonującym połączeniem konwencjonalnym w krajowych i regionalnych przewozach pasażerskich i towarowych na kierunku </w:t>
      </w:r>
      <w:r w:rsidRPr="007E08F7">
        <w:rPr>
          <w:rFonts w:asciiTheme="minorHAnsi" w:eastAsia="Aptos" w:hAnsiTheme="minorHAnsi" w:cs="Aptos"/>
          <w:bCs/>
          <w:spacing w:val="4"/>
        </w:rPr>
        <w:t>Malbork – Sztum – Kwidzyn – Grudziądz – Toruń;</w:t>
      </w:r>
    </w:p>
    <w:p w14:paraId="4094743A" w14:textId="77777777" w:rsidR="00E32496" w:rsidRPr="007E08F7" w:rsidRDefault="00E32496" w:rsidP="000473C9">
      <w:pPr>
        <w:pStyle w:val="Akapitzlist"/>
        <w:spacing w:before="120" w:after="120" w:line="288" w:lineRule="auto"/>
        <w:ind w:left="1247"/>
        <w:rPr>
          <w:rFonts w:asciiTheme="minorHAnsi" w:eastAsia="Aptos" w:hAnsiTheme="minorHAnsi" w:cs="Aptos"/>
          <w:bCs/>
          <w:spacing w:val="4"/>
        </w:rPr>
      </w:pPr>
      <w:r w:rsidRPr="007E08F7">
        <w:rPr>
          <w:rFonts w:asciiTheme="minorHAnsi" w:eastAsia="Aptos" w:hAnsiTheme="minorHAnsi" w:cs="Aptos"/>
          <w:bCs/>
          <w:spacing w:val="4"/>
        </w:rPr>
        <w:t xml:space="preserve">Pasmo nadwiślańskie jest obszarem rozwoju aktywności gospodarczej związanej z przetwórstwem rolno-spożywczym oraz produkcją w sektorze papierniczym, elektronicznym (Kwidzyn) i budowlanym; do szczególnych </w:t>
      </w:r>
      <w:r w:rsidRPr="007E08F7">
        <w:rPr>
          <w:rFonts w:asciiTheme="minorHAnsi" w:eastAsia="Aptos" w:hAnsiTheme="minorHAnsi" w:cs="Aptos"/>
          <w:bCs/>
          <w:spacing w:val="4"/>
        </w:rPr>
        <w:lastRenderedPageBreak/>
        <w:t xml:space="preserve">obszarów rozwojowych należeć będą okolice Kwidzyna, gdzie warunki zasilania zapewnią wysoką efektywność energetyczną i szybkie dostarczenie pełnej wnioskowanej mocy; </w:t>
      </w:r>
    </w:p>
    <w:p w14:paraId="1A3BAF23" w14:textId="77777777" w:rsidR="00E32496" w:rsidRPr="007E08F7" w:rsidRDefault="00E32496">
      <w:pPr>
        <w:numPr>
          <w:ilvl w:val="0"/>
          <w:numId w:val="62"/>
        </w:numPr>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 xml:space="preserve">wielofunkcyjne strefy, </w:t>
      </w:r>
      <w:r w:rsidRPr="007E08F7">
        <w:rPr>
          <w:rFonts w:asciiTheme="minorHAnsi" w:eastAsia="Aptos" w:hAnsiTheme="minorHAnsi" w:cs="Aptos"/>
          <w:bCs/>
          <w:spacing w:val="4"/>
        </w:rPr>
        <w:t>dla których z uwagi na zróżnicowaną specyfikę położenia geograficznego oraz uwarunkowania rozwojowe, wskazana jest interwencja publiczna ukierunkowana na uruchomienie potencjałów rozwojowych wynikających z ich specyfiki lub przełamanie barier rozwojowych wspartych działaniami polityki przestrzennej; należą do ich m.in.</w:t>
      </w:r>
      <w:r w:rsidRPr="007E08F7">
        <w:rPr>
          <w:rFonts w:asciiTheme="minorHAnsi" w:eastAsia="Aptos" w:hAnsiTheme="minorHAnsi" w:cs="Aptos"/>
          <w:b/>
          <w:bCs/>
          <w:spacing w:val="4"/>
        </w:rPr>
        <w:t>:</w:t>
      </w:r>
    </w:p>
    <w:p w14:paraId="7EBA91ED" w14:textId="77777777" w:rsidR="00E32496" w:rsidRPr="007E08F7" w:rsidRDefault="00E32496">
      <w:pPr>
        <w:numPr>
          <w:ilvl w:val="1"/>
          <w:numId w:val="62"/>
        </w:numPr>
        <w:tabs>
          <w:tab w:val="clear" w:pos="992"/>
          <w:tab w:val="num" w:pos="993"/>
        </w:tabs>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Obszar Metropolitalny Gdańsk-Gdynia-Sopot</w:t>
      </w:r>
      <w:r w:rsidRPr="007E08F7">
        <w:rPr>
          <w:rFonts w:asciiTheme="minorHAnsi" w:eastAsia="Aptos" w:hAnsiTheme="minorHAnsi" w:cs="Aptos"/>
          <w:bCs/>
          <w:spacing w:val="4"/>
        </w:rPr>
        <w:t xml:space="preserve"> w zasięgu rdzenia metropolii: oraz strefy silnych powiązań funkcjonalnych i zaawansowanych procesów urbanizacyjnych;</w:t>
      </w:r>
    </w:p>
    <w:p w14:paraId="567D247C" w14:textId="39036F9A" w:rsidR="00E32496" w:rsidRPr="007E08F7" w:rsidRDefault="00E32496">
      <w:pPr>
        <w:numPr>
          <w:ilvl w:val="1"/>
          <w:numId w:val="62"/>
        </w:numPr>
        <w:tabs>
          <w:tab w:val="clear" w:pos="992"/>
          <w:tab w:val="num" w:pos="993"/>
        </w:tabs>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miejskie obszary funkcjonalne</w:t>
      </w:r>
      <w:bookmarkStart w:id="73" w:name="_Hlk219717668"/>
      <w:r w:rsidRPr="007E08F7">
        <w:rPr>
          <w:rFonts w:asciiTheme="minorHAnsi" w:eastAsia="Aptos" w:hAnsiTheme="minorHAnsi" w:cs="Aptos"/>
          <w:bCs/>
          <w:spacing w:val="4"/>
        </w:rPr>
        <w:t xml:space="preserve"> </w:t>
      </w:r>
      <w:r w:rsidRPr="007E08F7">
        <w:rPr>
          <w:rFonts w:asciiTheme="minorHAnsi" w:eastAsia="Aptos" w:hAnsiTheme="minorHAnsi" w:cs="Aptos"/>
          <w:b/>
          <w:spacing w:val="4"/>
        </w:rPr>
        <w:t xml:space="preserve">w granicach strefy funkcjonalnej obszaru </w:t>
      </w:r>
      <w:proofErr w:type="spellStart"/>
      <w:r w:rsidRPr="007E08F7">
        <w:rPr>
          <w:rFonts w:asciiTheme="minorHAnsi" w:eastAsia="Aptos" w:hAnsiTheme="minorHAnsi" w:cs="Aptos"/>
          <w:b/>
          <w:spacing w:val="4"/>
        </w:rPr>
        <w:t>metropolitalnego</w:t>
      </w:r>
      <w:r w:rsidRPr="007E08F7">
        <w:rPr>
          <w:rFonts w:asciiTheme="minorHAnsi" w:eastAsia="Aptos" w:hAnsiTheme="minorHAnsi" w:cs="Aptos"/>
          <w:bCs/>
          <w:spacing w:val="4"/>
        </w:rPr>
        <w:t>,jako</w:t>
      </w:r>
      <w:proofErr w:type="spellEnd"/>
      <w:r w:rsidRPr="007E08F7">
        <w:rPr>
          <w:rFonts w:asciiTheme="minorHAnsi" w:eastAsia="Aptos" w:hAnsiTheme="minorHAnsi" w:cs="Aptos"/>
          <w:bCs/>
          <w:spacing w:val="4"/>
        </w:rPr>
        <w:t xml:space="preserve"> szczególna kategoria miejskich obszarów funkcjonalnych wzmacniających </w:t>
      </w:r>
      <w:proofErr w:type="spellStart"/>
      <w:r w:rsidRPr="007E08F7">
        <w:rPr>
          <w:rFonts w:asciiTheme="minorHAnsi" w:eastAsia="Aptos" w:hAnsiTheme="minorHAnsi" w:cs="Aptos"/>
          <w:bCs/>
          <w:spacing w:val="4"/>
        </w:rPr>
        <w:t>wieloośrodkowość</w:t>
      </w:r>
      <w:proofErr w:type="spellEnd"/>
      <w:r w:rsidRPr="007E08F7">
        <w:rPr>
          <w:rFonts w:asciiTheme="minorHAnsi" w:eastAsia="Aptos" w:hAnsiTheme="minorHAnsi" w:cs="Aptos"/>
          <w:bCs/>
          <w:spacing w:val="4"/>
        </w:rPr>
        <w:t xml:space="preserve"> obszaru metropolitalnego, do których należą: Kartuzy, Puck, Tczew i Wejherowo;</w:t>
      </w:r>
    </w:p>
    <w:p w14:paraId="19ED9EC3" w14:textId="77777777" w:rsidR="00E32496" w:rsidRPr="007E08F7" w:rsidRDefault="00E32496">
      <w:pPr>
        <w:numPr>
          <w:ilvl w:val="1"/>
          <w:numId w:val="62"/>
        </w:numPr>
        <w:tabs>
          <w:tab w:val="clear" w:pos="992"/>
          <w:tab w:val="num" w:pos="993"/>
        </w:tabs>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miejskie obszary funkcjonalne</w:t>
      </w:r>
      <w:r w:rsidRPr="007E08F7">
        <w:rPr>
          <w:rFonts w:asciiTheme="minorHAnsi" w:eastAsia="Aptos" w:hAnsiTheme="minorHAnsi" w:cs="Aptos"/>
          <w:bCs/>
          <w:spacing w:val="4"/>
        </w:rPr>
        <w:t xml:space="preserve"> wzmacniające </w:t>
      </w:r>
      <w:proofErr w:type="spellStart"/>
      <w:r w:rsidRPr="007E08F7">
        <w:rPr>
          <w:rFonts w:asciiTheme="minorHAnsi" w:eastAsia="Aptos" w:hAnsiTheme="minorHAnsi" w:cs="Aptos"/>
          <w:bCs/>
          <w:spacing w:val="4"/>
        </w:rPr>
        <w:t>wieloośrodkowość</w:t>
      </w:r>
      <w:proofErr w:type="spellEnd"/>
      <w:r w:rsidRPr="007E08F7">
        <w:rPr>
          <w:rFonts w:asciiTheme="minorHAnsi" w:eastAsia="Aptos" w:hAnsiTheme="minorHAnsi" w:cs="Aptos"/>
          <w:bCs/>
          <w:spacing w:val="4"/>
        </w:rPr>
        <w:t xml:space="preserve"> regionu: MOF Bytowa, MOF Chojnice-Człuchów, MOF Kościerzyny, MOF Kwidzyna, MOF Lęborka, MOF Malbork-Sztum, MOF Słupsk-Ustka, MOF Starogardu Gdańskiego;</w:t>
      </w:r>
    </w:p>
    <w:p w14:paraId="4BF06007" w14:textId="36DBE8FC" w:rsidR="00E32496" w:rsidRPr="007E08F7" w:rsidRDefault="00E32496">
      <w:pPr>
        <w:numPr>
          <w:ilvl w:val="1"/>
          <w:numId w:val="62"/>
        </w:numPr>
        <w:tabs>
          <w:tab w:val="clear" w:pos="992"/>
          <w:tab w:val="num" w:pos="993"/>
        </w:tabs>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obszar rozwoju energetyki jądrowej i morskiej energetyki wiatrowej</w:t>
      </w:r>
      <w:r w:rsidRPr="007E08F7">
        <w:rPr>
          <w:rFonts w:asciiTheme="minorHAnsi" w:eastAsia="Aptos" w:hAnsiTheme="minorHAnsi" w:cs="Aptos"/>
          <w:spacing w:val="4"/>
        </w:rPr>
        <w:t>, będący</w:t>
      </w:r>
      <w:r w:rsidRPr="007E08F7">
        <w:rPr>
          <w:rFonts w:asciiTheme="minorHAnsi" w:eastAsia="Aptos" w:hAnsiTheme="minorHAnsi" w:cs="Aptos"/>
          <w:b/>
          <w:bCs/>
          <w:spacing w:val="4"/>
        </w:rPr>
        <w:t xml:space="preserve"> </w:t>
      </w:r>
      <w:r w:rsidRPr="007E08F7">
        <w:rPr>
          <w:rFonts w:asciiTheme="minorHAnsi" w:eastAsia="Aptos" w:hAnsiTheme="minorHAnsi" w:cs="Aptos"/>
          <w:spacing w:val="4"/>
        </w:rPr>
        <w:t>obszarem szczególnego wsparcia w polityce regionalnej państwa, wymagający koordynacji działań prowadzonych na poziomie regionalnym i</w:t>
      </w:r>
      <w:r w:rsidR="00E43263" w:rsidRPr="007E08F7">
        <w:rPr>
          <w:rFonts w:asciiTheme="minorHAnsi" w:eastAsia="Aptos" w:hAnsiTheme="minorHAnsi" w:cs="Aptos"/>
          <w:spacing w:val="4"/>
        </w:rPr>
        <w:t> </w:t>
      </w:r>
      <w:r w:rsidRPr="007E08F7">
        <w:rPr>
          <w:rFonts w:asciiTheme="minorHAnsi" w:eastAsia="Aptos" w:hAnsiTheme="minorHAnsi" w:cs="Aptos"/>
          <w:spacing w:val="4"/>
        </w:rPr>
        <w:t>lokalnym obejmujący</w:t>
      </w:r>
      <w:r w:rsidRPr="007E08F7">
        <w:rPr>
          <w:rFonts w:asciiTheme="minorHAnsi" w:eastAsia="Aptos" w:hAnsiTheme="minorHAnsi" w:cs="Aptos"/>
          <w:b/>
          <w:bCs/>
          <w:spacing w:val="4"/>
        </w:rPr>
        <w:t xml:space="preserve"> </w:t>
      </w:r>
      <w:r w:rsidRPr="007E08F7">
        <w:rPr>
          <w:rFonts w:asciiTheme="minorHAnsi" w:eastAsia="Aptos" w:hAnsiTheme="minorHAnsi" w:cs="Aptos"/>
          <w:bCs/>
          <w:spacing w:val="4"/>
        </w:rPr>
        <w:t>powiaty: słupski, lęborski, wejherowski, pucki, Miasto Gdańsk, Miasto Gdynia, Miasto Słupsk i Miasto Sopot);</w:t>
      </w:r>
    </w:p>
    <w:bookmarkEnd w:id="73"/>
    <w:p w14:paraId="5FA0C76E" w14:textId="04DD7738" w:rsidR="00E32496" w:rsidRPr="007E08F7" w:rsidRDefault="00E32496">
      <w:pPr>
        <w:numPr>
          <w:ilvl w:val="1"/>
          <w:numId w:val="62"/>
        </w:numPr>
        <w:tabs>
          <w:tab w:val="clear" w:pos="992"/>
          <w:tab w:val="num" w:pos="993"/>
        </w:tabs>
        <w:spacing w:before="120" w:after="120" w:line="288" w:lineRule="auto"/>
        <w:rPr>
          <w:rFonts w:asciiTheme="minorHAnsi" w:eastAsia="Aptos" w:hAnsiTheme="minorHAnsi" w:cs="Aptos"/>
          <w:bCs/>
          <w:spacing w:val="4"/>
        </w:rPr>
      </w:pPr>
      <w:r w:rsidRPr="007E08F7">
        <w:rPr>
          <w:rFonts w:asciiTheme="minorHAnsi" w:eastAsia="Aptos" w:hAnsiTheme="minorHAnsi" w:cs="Aptos"/>
          <w:b/>
          <w:bCs/>
          <w:spacing w:val="4"/>
        </w:rPr>
        <w:t>obszary wiejskie kluczowe dla bezpieczeństwa żywnościowego kraju i</w:t>
      </w:r>
      <w:r w:rsidR="00E43263" w:rsidRPr="007E08F7">
        <w:rPr>
          <w:rFonts w:asciiTheme="minorHAnsi" w:eastAsia="Aptos" w:hAnsiTheme="minorHAnsi" w:cs="Aptos"/>
          <w:b/>
          <w:bCs/>
          <w:spacing w:val="4"/>
        </w:rPr>
        <w:t> </w:t>
      </w:r>
      <w:r w:rsidRPr="007E08F7">
        <w:rPr>
          <w:rFonts w:asciiTheme="minorHAnsi" w:eastAsia="Aptos" w:hAnsiTheme="minorHAnsi" w:cs="Aptos"/>
          <w:b/>
          <w:bCs/>
          <w:spacing w:val="4"/>
        </w:rPr>
        <w:t xml:space="preserve">regionu, </w:t>
      </w:r>
      <w:r w:rsidRPr="007E08F7">
        <w:rPr>
          <w:rFonts w:asciiTheme="minorHAnsi" w:eastAsia="Aptos" w:hAnsiTheme="minorHAnsi" w:cs="Aptos"/>
          <w:spacing w:val="4"/>
        </w:rPr>
        <w:t>położone w obrębie pasa pobrzeży, a w szczególności Żuławy oraz pasa pojezierzy (Wysoczyzna Polanowska, Pojezierze Starogardzkie, Dolina Kwidzyńska, Pojezierze Iławskie i Pojezierze Krajeńskie), obejmujące powiaty: słupski, lęborski, wejherowski, pucki, kartuski, gdański, nowodworski, malborki, sztumski, tczewski, kwidzyński, południową część powiatów chojnickiego i człuchowskiego oraz północną i wschodnią powiatu starogardzkiego;</w:t>
      </w:r>
    </w:p>
    <w:p w14:paraId="360FAD77" w14:textId="77777777" w:rsidR="00E32496" w:rsidRPr="007E08F7" w:rsidRDefault="00E32496">
      <w:pPr>
        <w:numPr>
          <w:ilvl w:val="1"/>
          <w:numId w:val="62"/>
        </w:numPr>
        <w:tabs>
          <w:tab w:val="clear" w:pos="992"/>
          <w:tab w:val="num" w:pos="993"/>
        </w:tabs>
        <w:spacing w:before="120" w:after="120" w:line="288" w:lineRule="auto"/>
        <w:rPr>
          <w:rFonts w:asciiTheme="minorHAnsi" w:eastAsia="Aptos" w:hAnsiTheme="minorHAnsi" w:cs="Aptos"/>
          <w:bCs/>
          <w:spacing w:val="4"/>
        </w:rPr>
      </w:pPr>
      <w:r w:rsidRPr="007E08F7">
        <w:rPr>
          <w:rFonts w:asciiTheme="minorHAnsi" w:eastAsia="Aptos" w:hAnsiTheme="minorHAnsi" w:cs="Aptos"/>
          <w:b/>
          <w:spacing w:val="4"/>
        </w:rPr>
        <w:t>obszary wiejskie o dominującej funkcji leśnej</w:t>
      </w:r>
      <w:r w:rsidRPr="007E08F7">
        <w:rPr>
          <w:rFonts w:asciiTheme="minorHAnsi" w:eastAsia="Aptos" w:hAnsiTheme="minorHAnsi" w:cs="Aptos"/>
          <w:bCs/>
          <w:spacing w:val="4"/>
        </w:rPr>
        <w:t xml:space="preserve">, </w:t>
      </w:r>
      <w:r w:rsidRPr="007E08F7">
        <w:rPr>
          <w:rFonts w:asciiTheme="minorHAnsi" w:eastAsia="Aptos" w:hAnsiTheme="minorHAnsi" w:cs="Aptos"/>
          <w:spacing w:val="4"/>
        </w:rPr>
        <w:t xml:space="preserve">położone w obrębie Pojezierzy Bytowskiego i Kaszubskiego, Borów Tucholskich i Równiny Charzykowskiej oraz Pojezierza Iławskiego, obejmujące południową część powiatów: słupskiego, lęborskiego, południową i wschodnią część powiatu wejherowskiego, powiaty: bytowski, kościerski, człuchowski i chojnicki, </w:t>
      </w:r>
      <w:r w:rsidRPr="007E08F7">
        <w:rPr>
          <w:rFonts w:asciiTheme="minorHAnsi" w:eastAsia="Aptos" w:hAnsiTheme="minorHAnsi" w:cs="Aptos"/>
          <w:spacing w:val="4"/>
        </w:rPr>
        <w:lastRenderedPageBreak/>
        <w:t>południową i zachodnią część powiatu starogardzkiego oraz wschodnią część powiatu kwidzyńskiego;</w:t>
      </w:r>
    </w:p>
    <w:p w14:paraId="127E744B" w14:textId="7F74E5A0" w:rsidR="00E32496" w:rsidRPr="007E08F7" w:rsidRDefault="00E32496">
      <w:pPr>
        <w:numPr>
          <w:ilvl w:val="0"/>
          <w:numId w:val="62"/>
        </w:numPr>
        <w:spacing w:before="120" w:after="120" w:line="288" w:lineRule="auto"/>
        <w:rPr>
          <w:rFonts w:asciiTheme="minorHAnsi" w:eastAsia="Aptos" w:hAnsiTheme="minorHAnsi" w:cs="Segoe UI"/>
        </w:rPr>
      </w:pPr>
      <w:r w:rsidRPr="007E08F7">
        <w:rPr>
          <w:rFonts w:asciiTheme="minorHAnsi" w:eastAsia="Aptos" w:hAnsiTheme="minorHAnsi" w:cs="Aptos"/>
          <w:b/>
          <w:bCs/>
          <w:spacing w:val="4"/>
        </w:rPr>
        <w:t>regionalny system obszarów chronionych i powiązań ekologicznych</w:t>
      </w:r>
      <w:r w:rsidRPr="007E08F7">
        <w:rPr>
          <w:rFonts w:asciiTheme="minorHAnsi" w:eastAsia="Aptos" w:hAnsiTheme="minorHAnsi" w:cs="Aptos"/>
          <w:bCs/>
          <w:spacing w:val="4"/>
        </w:rPr>
        <w:t>, na</w:t>
      </w:r>
      <w:r w:rsidR="00E43263" w:rsidRPr="007E08F7">
        <w:rPr>
          <w:rFonts w:asciiTheme="minorHAnsi" w:eastAsia="Aptos" w:hAnsiTheme="minorHAnsi" w:cs="Aptos"/>
          <w:bCs/>
          <w:spacing w:val="4"/>
        </w:rPr>
        <w:t> </w:t>
      </w:r>
      <w:r w:rsidRPr="007E08F7">
        <w:rPr>
          <w:rFonts w:asciiTheme="minorHAnsi" w:eastAsia="Aptos" w:hAnsiTheme="minorHAnsi" w:cs="Aptos"/>
          <w:bCs/>
          <w:spacing w:val="4"/>
        </w:rPr>
        <w:t>który składają się prawne formy ochrony przyrody oraz powiązane z nimi korytarze ekologiczne o znaczeniu ponadregionalnym, regionalnym i</w:t>
      </w:r>
      <w:r w:rsidR="00E43263" w:rsidRPr="007E08F7">
        <w:rPr>
          <w:rFonts w:asciiTheme="minorHAnsi" w:eastAsia="Aptos" w:hAnsiTheme="minorHAnsi" w:cs="Aptos"/>
          <w:bCs/>
          <w:spacing w:val="4"/>
        </w:rPr>
        <w:t> </w:t>
      </w:r>
      <w:proofErr w:type="spellStart"/>
      <w:r w:rsidRPr="007E08F7">
        <w:rPr>
          <w:rFonts w:asciiTheme="minorHAnsi" w:eastAsia="Aptos" w:hAnsiTheme="minorHAnsi" w:cs="Aptos"/>
          <w:bCs/>
          <w:spacing w:val="4"/>
        </w:rPr>
        <w:t>subregionalnym</w:t>
      </w:r>
      <w:proofErr w:type="spellEnd"/>
      <w:r w:rsidRPr="007E08F7">
        <w:rPr>
          <w:rFonts w:asciiTheme="minorHAnsi" w:eastAsia="Aptos" w:hAnsiTheme="minorHAnsi" w:cs="Aptos"/>
          <w:bCs/>
          <w:spacing w:val="4"/>
        </w:rPr>
        <w:t xml:space="preserve">, pozwalające zapewnić odpowiednie warunki dla zachowania i odtwarzania bioróżnorodności, </w:t>
      </w:r>
      <w:r w:rsidRPr="007E08F7">
        <w:rPr>
          <w:rFonts w:asciiTheme="minorHAnsi" w:eastAsia="Aptos" w:hAnsiTheme="minorHAnsi" w:cs="Segoe UI"/>
        </w:rPr>
        <w:t>świadczenia usług ekosystemowych oraz sprzyjać rozwojowi turystyki i rekreacji.</w:t>
      </w:r>
    </w:p>
    <w:p w14:paraId="102AD48F" w14:textId="7B5EE113" w:rsidR="00AD5F45" w:rsidRPr="007E08F7" w:rsidRDefault="00AD5F45" w:rsidP="00AD5F45">
      <w:pPr>
        <w:pStyle w:val="Legenda"/>
        <w:keepNext/>
        <w:spacing w:before="120" w:after="120" w:line="288" w:lineRule="auto"/>
        <w:rPr>
          <w:i w:val="0"/>
          <w:iCs w:val="0"/>
          <w:sz w:val="24"/>
          <w:szCs w:val="24"/>
        </w:rPr>
      </w:pPr>
      <w:bookmarkStart w:id="74" w:name="_Toc239689654"/>
      <w:r w:rsidRPr="007E08F7">
        <w:rPr>
          <w:i w:val="0"/>
          <w:iCs w:val="0"/>
          <w:sz w:val="24"/>
          <w:szCs w:val="24"/>
        </w:rPr>
        <w:t xml:space="preserve">Rysunek </w:t>
      </w:r>
      <w:r w:rsidRPr="007E08F7">
        <w:rPr>
          <w:i w:val="0"/>
          <w:iCs w:val="0"/>
          <w:sz w:val="24"/>
          <w:szCs w:val="24"/>
        </w:rPr>
        <w:fldChar w:fldCharType="begin"/>
      </w:r>
      <w:r w:rsidRPr="007E08F7">
        <w:rPr>
          <w:i w:val="0"/>
          <w:iCs w:val="0"/>
          <w:sz w:val="24"/>
          <w:szCs w:val="24"/>
        </w:rPr>
        <w:instrText xml:space="preserve"> SEQ Rysunek \* ARABIC </w:instrText>
      </w:r>
      <w:r w:rsidRPr="007E08F7">
        <w:rPr>
          <w:i w:val="0"/>
          <w:iCs w:val="0"/>
          <w:sz w:val="24"/>
          <w:szCs w:val="24"/>
        </w:rPr>
        <w:fldChar w:fldCharType="separate"/>
      </w:r>
      <w:r w:rsidRPr="007E08F7">
        <w:rPr>
          <w:i w:val="0"/>
          <w:iCs w:val="0"/>
          <w:noProof/>
          <w:sz w:val="24"/>
          <w:szCs w:val="24"/>
        </w:rPr>
        <w:t>2</w:t>
      </w:r>
      <w:r w:rsidRPr="007E08F7">
        <w:rPr>
          <w:i w:val="0"/>
          <w:iCs w:val="0"/>
          <w:sz w:val="24"/>
          <w:szCs w:val="24"/>
        </w:rPr>
        <w:fldChar w:fldCharType="end"/>
      </w:r>
      <w:r w:rsidRPr="007E08F7">
        <w:rPr>
          <w:i w:val="0"/>
          <w:iCs w:val="0"/>
          <w:sz w:val="24"/>
          <w:szCs w:val="24"/>
        </w:rPr>
        <w:t xml:space="preserve"> Model struktury funkcjonalno-przestrzennej regionu</w:t>
      </w:r>
      <w:bookmarkEnd w:id="74"/>
    </w:p>
    <w:p w14:paraId="1D5893C1" w14:textId="55E874AB" w:rsidR="004D6982" w:rsidRPr="007E08F7" w:rsidRDefault="00E32496" w:rsidP="002B6024">
      <w:pPr>
        <w:spacing w:before="120" w:after="120" w:line="288" w:lineRule="auto"/>
        <w:rPr>
          <w:rStyle w:val="cf01"/>
          <w:rFonts w:asciiTheme="minorHAnsi" w:eastAsia="Times New Roman" w:hAnsiTheme="minorHAnsi" w:cs="Times New Roman"/>
          <w:kern w:val="0"/>
          <w:sz w:val="24"/>
          <w:szCs w:val="24"/>
          <w:lang w:eastAsia="pl-PL"/>
          <w14:ligatures w14:val="none"/>
        </w:rPr>
      </w:pPr>
      <w:r w:rsidRPr="007E08F7">
        <w:rPr>
          <w:rFonts w:asciiTheme="minorHAnsi" w:eastAsia="Times New Roman" w:hAnsiTheme="minorHAnsi" w:cs="Times New Roman"/>
          <w:noProof/>
          <w:kern w:val="0"/>
          <w:lang w:eastAsia="pl-PL"/>
          <w14:ligatures w14:val="none"/>
        </w:rPr>
        <w:drawing>
          <wp:inline distT="0" distB="0" distL="0" distR="0" wp14:anchorId="4D34265E" wp14:editId="2C61B78D">
            <wp:extent cx="5760720" cy="4073525"/>
            <wp:effectExtent l="19050" t="19050" r="11430" b="22225"/>
            <wp:docPr id="610017941" name="Obraz 1" descr="Model, na tle mapy regionu, przedstawia współzależności rozmieszczenia sieci osadniczej z kluczowymi funkcjami społeczno-gospodarczymi oraz systemem powiązań transportowych, przestrzennych i ekologicznych. W ten sposób kluczowe cele strategii zyskują swój przestrzenny wymiar, tworząc ramy dla zrównoważonego, uporządkowanego i bezpiecznego rozwoju całego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17941" name="Obraz 1" descr="Model, na tle mapy regionu, przedstawia współzależności rozmieszczenia sieci osadniczej z kluczowymi funkcjami społeczno-gospodarczymi oraz systemem powiązań transportowych, przestrzennych i ekologicznych. W ten sposób kluczowe cele strategii zyskują swój przestrzenny wymiar, tworząc ramy dla zrównoważonego, uporządkowanego i bezpiecznego rozwoju całego województwa pomorskiego."/>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4073525"/>
                    </a:xfrm>
                    <a:prstGeom prst="rect">
                      <a:avLst/>
                    </a:prstGeom>
                    <a:noFill/>
                    <a:ln w="3175">
                      <a:solidFill>
                        <a:schemeClr val="accent1"/>
                      </a:solidFill>
                    </a:ln>
                  </pic:spPr>
                </pic:pic>
              </a:graphicData>
            </a:graphic>
          </wp:inline>
        </w:drawing>
      </w:r>
    </w:p>
    <w:p w14:paraId="5533107C" w14:textId="26B5B05E" w:rsidR="00034C36" w:rsidRPr="007E08F7" w:rsidRDefault="004A4A4B" w:rsidP="004D6982">
      <w:pPr>
        <w:rPr>
          <w:rFonts w:cs="Segoe UI"/>
          <w:sz w:val="20"/>
          <w:szCs w:val="20"/>
        </w:rPr>
      </w:pPr>
      <w:r w:rsidRPr="007E08F7">
        <w:rPr>
          <w:rStyle w:val="cf01"/>
          <w:rFonts w:ascii="Aptos" w:hAnsi="Aptos"/>
          <w:sz w:val="20"/>
          <w:szCs w:val="20"/>
        </w:rPr>
        <w:t>Źró</w:t>
      </w:r>
      <w:r w:rsidRPr="007E08F7">
        <w:rPr>
          <w:rFonts w:cs="Segoe UI"/>
          <w:sz w:val="20"/>
          <w:szCs w:val="20"/>
        </w:rPr>
        <w:t xml:space="preserve">dło: </w:t>
      </w:r>
      <w:r w:rsidR="004779AC" w:rsidRPr="007E08F7">
        <w:rPr>
          <w:rStyle w:val="cf01"/>
          <w:rFonts w:ascii="Aptos" w:hAnsi="Aptos"/>
          <w:sz w:val="20"/>
          <w:szCs w:val="20"/>
        </w:rPr>
        <w:t>Opracowanie</w:t>
      </w:r>
      <w:r w:rsidRPr="007E08F7">
        <w:rPr>
          <w:rStyle w:val="cf01"/>
          <w:rFonts w:ascii="Aptos" w:hAnsi="Aptos"/>
          <w:sz w:val="20"/>
          <w:szCs w:val="20"/>
        </w:rPr>
        <w:t xml:space="preserve"> </w:t>
      </w:r>
      <w:r w:rsidR="004779AC" w:rsidRPr="007E08F7">
        <w:rPr>
          <w:rStyle w:val="cf01"/>
          <w:rFonts w:ascii="Aptos" w:hAnsi="Aptos"/>
          <w:sz w:val="20"/>
          <w:szCs w:val="20"/>
        </w:rPr>
        <w:t>Pomorskie Biuro Planowania Regionalnego</w:t>
      </w:r>
      <w:r w:rsidR="004D6982" w:rsidRPr="007E08F7">
        <w:rPr>
          <w:rStyle w:val="cf01"/>
          <w:rFonts w:ascii="Aptos" w:hAnsi="Aptos"/>
          <w:sz w:val="20"/>
          <w:szCs w:val="20"/>
        </w:rPr>
        <w:br w:type="page"/>
      </w:r>
    </w:p>
    <w:p w14:paraId="767521AC" w14:textId="25B61807" w:rsidR="00576378" w:rsidRPr="007E08F7" w:rsidRDefault="0058281A" w:rsidP="00B64E0B">
      <w:pPr>
        <w:pStyle w:val="Nagwek1"/>
      </w:pPr>
      <w:bookmarkStart w:id="75" w:name="_Toc239772099"/>
      <w:r w:rsidRPr="007E08F7">
        <w:lastRenderedPageBreak/>
        <w:t>Ustalenia i rekomendacje w zakresie kształtowania i prowadzenia polityki przestrzennej</w:t>
      </w:r>
      <w:bookmarkEnd w:id="75"/>
    </w:p>
    <w:p w14:paraId="0E40BA11" w14:textId="77777777" w:rsidR="002B6024" w:rsidRPr="007E08F7" w:rsidRDefault="002B6024" w:rsidP="002B6024">
      <w:pPr>
        <w:spacing w:before="120" w:after="120" w:line="288" w:lineRule="auto"/>
        <w:rPr>
          <w:rFonts w:eastAsia="Aptos"/>
        </w:rPr>
      </w:pPr>
      <w:r w:rsidRPr="007E08F7">
        <w:rPr>
          <w:rFonts w:eastAsia="Aptos"/>
        </w:rPr>
        <w:t>Model struktury funkcjonalno-przestrzennej województwa odzwierciedla terytorialny wymiar działań rozwojowych, wskazując obszary, na których powinna się koncentrować polityka rozwoju województwa</w:t>
      </w:r>
      <w:r w:rsidRPr="007E08F7">
        <w:rPr>
          <w:rFonts w:eastAsia="Times New Roman" w:cs="Arial"/>
          <w:kern w:val="0"/>
          <w:lang w:eastAsia="pl-PL"/>
          <w14:ligatures w14:val="none"/>
        </w:rPr>
        <w:t xml:space="preserve"> w perspektywie 2035 roku</w:t>
      </w:r>
      <w:r w:rsidRPr="007E08F7">
        <w:rPr>
          <w:rFonts w:eastAsia="Aptos"/>
        </w:rPr>
        <w:t>. W celu uzyskania większej efektywności tych działań konieczne jest oddziaływanie samorządu województwa na polityki przestrzenne prowadzone na poziomie lokalnym w strategiach gmin oraz strategiach ponadlokalnych. Podstawą oddziaływania regionu na powyższe dokumenty są ustalenia i rekomendacje w zakresie kształtowania i prowadzenia polityki przestrzennej.</w:t>
      </w:r>
    </w:p>
    <w:p w14:paraId="64BFAE84" w14:textId="63A4E73E" w:rsidR="00034C36" w:rsidRPr="007E08F7" w:rsidRDefault="002B6024" w:rsidP="006919F8">
      <w:pPr>
        <w:spacing w:before="120" w:after="120" w:line="288" w:lineRule="auto"/>
        <w:rPr>
          <w:rFonts w:eastAsia="Times New Roman" w:cs="Arial"/>
          <w:kern w:val="0"/>
          <w:lang w:eastAsia="pl-PL"/>
          <w14:ligatures w14:val="none"/>
        </w:rPr>
      </w:pPr>
      <w:r w:rsidRPr="007E08F7">
        <w:rPr>
          <w:rFonts w:eastAsia="Times New Roman" w:cs="Arial"/>
          <w:noProof/>
          <w:kern w:val="0"/>
          <w:lang w:eastAsia="pl-PL"/>
          <w14:ligatures w14:val="none"/>
        </w:rPr>
        <w:t xml:space="preserve">Ustalenia i rekomendacje </w:t>
      </w:r>
      <w:r w:rsidRPr="007E08F7">
        <w:rPr>
          <w:rFonts w:eastAsia="Times New Roman" w:cs="Arial"/>
          <w:kern w:val="0"/>
          <w:lang w:eastAsia="pl-PL"/>
          <w14:ligatures w14:val="none"/>
        </w:rPr>
        <w:t>w zakresie kształtowania i prowadzenia polityki przestrzennej wyrażają kluczowe zadania w zakresie kształtowania i prowadzenia polityki przestrzennej P</w:t>
      </w:r>
      <w:r w:rsidR="00E43263" w:rsidRPr="007E08F7">
        <w:rPr>
          <w:rFonts w:eastAsia="Times New Roman" w:cs="Arial"/>
          <w:kern w:val="0"/>
          <w:lang w:eastAsia="pl-PL"/>
          <w14:ligatures w14:val="none"/>
        </w:rPr>
        <w:t>omorskie</w:t>
      </w:r>
      <w:r w:rsidRPr="007E08F7">
        <w:rPr>
          <w:rFonts w:eastAsia="Times New Roman" w:cs="Arial"/>
          <w:kern w:val="0"/>
          <w:lang w:eastAsia="pl-PL"/>
          <w14:ligatures w14:val="none"/>
        </w:rPr>
        <w:t xml:space="preserve"> 2035, w którym we właściwych lokalizacjach, harmonii, relacjach i proporcjach zachodzą procesy społeczne, gospodarcze, a także przyrodnicze. Koncentrują się one na pięciu zagadnieniach stanowiących zasadnicze, z</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punktu widzenia ładu przestrzennego, wyzwania: sieć osadnicza, funkcje i usługi, środowisko i klimat, mobilność i energia. Ich efektem jest uporządkowana, dobrze zorganizowana i sprawnie funkcjonująca przestrzeń całego regionu</w:t>
      </w:r>
      <w:r w:rsidR="00034C36" w:rsidRPr="007E08F7">
        <w:rPr>
          <w:rFonts w:eastAsia="Times New Roman" w:cs="Arial"/>
          <w:kern w:val="0"/>
          <w:lang w:eastAsia="pl-PL"/>
          <w14:ligatures w14:val="none"/>
        </w:rPr>
        <w:t>.</w:t>
      </w:r>
    </w:p>
    <w:p w14:paraId="4D46C14F" w14:textId="0E20B907" w:rsidR="00AD5F45" w:rsidRPr="007E08F7" w:rsidRDefault="00AD5F45" w:rsidP="0058281A">
      <w:pPr>
        <w:pStyle w:val="Legenda"/>
        <w:keepNext/>
        <w:spacing w:before="120" w:after="120" w:line="288" w:lineRule="auto"/>
        <w:rPr>
          <w:i w:val="0"/>
          <w:iCs w:val="0"/>
          <w:sz w:val="24"/>
          <w:szCs w:val="24"/>
        </w:rPr>
      </w:pPr>
      <w:bookmarkStart w:id="76" w:name="_Toc239689655"/>
      <w:r w:rsidRPr="007E08F7">
        <w:rPr>
          <w:i w:val="0"/>
          <w:iCs w:val="0"/>
          <w:sz w:val="24"/>
          <w:szCs w:val="24"/>
        </w:rPr>
        <w:t xml:space="preserve">Rysunek </w:t>
      </w:r>
      <w:r w:rsidRPr="007E08F7">
        <w:rPr>
          <w:i w:val="0"/>
          <w:iCs w:val="0"/>
          <w:sz w:val="24"/>
          <w:szCs w:val="24"/>
        </w:rPr>
        <w:fldChar w:fldCharType="begin"/>
      </w:r>
      <w:r w:rsidRPr="007E08F7">
        <w:rPr>
          <w:i w:val="0"/>
          <w:iCs w:val="0"/>
          <w:sz w:val="24"/>
          <w:szCs w:val="24"/>
        </w:rPr>
        <w:instrText xml:space="preserve"> SEQ Rysunek \* ARABIC </w:instrText>
      </w:r>
      <w:r w:rsidRPr="007E08F7">
        <w:rPr>
          <w:i w:val="0"/>
          <w:iCs w:val="0"/>
          <w:sz w:val="24"/>
          <w:szCs w:val="24"/>
        </w:rPr>
        <w:fldChar w:fldCharType="separate"/>
      </w:r>
      <w:r w:rsidRPr="007E08F7">
        <w:rPr>
          <w:i w:val="0"/>
          <w:iCs w:val="0"/>
          <w:noProof/>
          <w:sz w:val="24"/>
          <w:szCs w:val="24"/>
        </w:rPr>
        <w:t>3</w:t>
      </w:r>
      <w:r w:rsidRPr="007E08F7">
        <w:rPr>
          <w:i w:val="0"/>
          <w:iCs w:val="0"/>
          <w:sz w:val="24"/>
          <w:szCs w:val="24"/>
        </w:rPr>
        <w:fldChar w:fldCharType="end"/>
      </w:r>
      <w:r w:rsidRPr="007E08F7">
        <w:rPr>
          <w:i w:val="0"/>
          <w:iCs w:val="0"/>
          <w:sz w:val="24"/>
          <w:szCs w:val="24"/>
        </w:rPr>
        <w:t xml:space="preserve"> Ideogram kształtowania ładu przestrzennego Pomorskie 2035</w:t>
      </w:r>
      <w:bookmarkEnd w:id="76"/>
    </w:p>
    <w:p w14:paraId="286D6245" w14:textId="6D697337" w:rsidR="003718C4" w:rsidRPr="007E08F7" w:rsidRDefault="00034C36" w:rsidP="006A7FCF">
      <w:pPr>
        <w:spacing w:before="120" w:after="120" w:line="288" w:lineRule="auto"/>
        <w:jc w:val="center"/>
        <w:rPr>
          <w:rFonts w:eastAsia="Times New Roman" w:cs="Arial"/>
          <w:kern w:val="0"/>
          <w:lang w:eastAsia="pl-PL"/>
          <w14:ligatures w14:val="none"/>
        </w:rPr>
      </w:pPr>
      <w:r w:rsidRPr="007E08F7">
        <w:rPr>
          <w:rFonts w:eastAsia="Times New Roman" w:cs="Arial"/>
          <w:noProof/>
          <w:kern w:val="0"/>
          <w:lang w:eastAsia="pl-PL"/>
          <w14:ligatures w14:val="none"/>
        </w:rPr>
        <w:drawing>
          <wp:inline distT="0" distB="0" distL="0" distR="0" wp14:anchorId="05B740FD" wp14:editId="3ED3FE6C">
            <wp:extent cx="3858016" cy="3200400"/>
            <wp:effectExtent l="0" t="0" r="9525" b="0"/>
            <wp:docPr id="1818427309" name="Obraz 2" descr="Schemat pięciu kluczowych zagadnień stanowiących wyzwania dla ładu przestrzennego województwa, tj.: Sieć Osadniczą, Energię, Środowisko i Klimat, Mobilność oraz Funkcje i Usługi. Układ ma formę konturu województwa pomorskiego, podkreślając ich znaczenie i wzajemne powiązania w przestrzeni regi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27309" name="Obraz 2" descr="Schemat pięciu kluczowych zagadnień stanowiących wyzwania dla ładu przestrzennego województwa, tj.: Sieć Osadniczą, Energię, Środowisko i Klimat, Mobilność oraz Funkcje i Usługi. Układ ma formę konturu województwa pomorskiego, podkreślając ich znaczenie i wzajemne powiązania w przestrzeni regionu."/>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8925" t="12066" r="3802" b="15537"/>
                    <a:stretch>
                      <a:fillRect/>
                    </a:stretch>
                  </pic:blipFill>
                  <pic:spPr bwMode="auto">
                    <a:xfrm>
                      <a:off x="0" y="0"/>
                      <a:ext cx="3891645" cy="3228297"/>
                    </a:xfrm>
                    <a:prstGeom prst="rect">
                      <a:avLst/>
                    </a:prstGeom>
                    <a:noFill/>
                    <a:ln>
                      <a:noFill/>
                    </a:ln>
                    <a:extLst>
                      <a:ext uri="{53640926-AAD7-44D8-BBD7-CCE9431645EC}">
                        <a14:shadowObscured xmlns:a14="http://schemas.microsoft.com/office/drawing/2010/main"/>
                      </a:ext>
                    </a:extLst>
                  </pic:spPr>
                </pic:pic>
              </a:graphicData>
            </a:graphic>
          </wp:inline>
        </w:drawing>
      </w:r>
    </w:p>
    <w:p w14:paraId="7E11EC48" w14:textId="03E246B8" w:rsidR="004779AC" w:rsidRPr="007E08F7" w:rsidRDefault="004A4A4B" w:rsidP="00850B79">
      <w:pPr>
        <w:spacing w:before="120" w:after="120" w:line="288" w:lineRule="auto"/>
        <w:rPr>
          <w:rFonts w:eastAsia="Aptos"/>
          <w:sz w:val="20"/>
          <w:szCs w:val="20"/>
        </w:rPr>
      </w:pPr>
      <w:r w:rsidRPr="007E08F7">
        <w:rPr>
          <w:rFonts w:eastAsia="Aptos"/>
          <w:sz w:val="20"/>
          <w:szCs w:val="20"/>
        </w:rPr>
        <w:t xml:space="preserve">Źródło: </w:t>
      </w:r>
      <w:r w:rsidR="006A7FCF" w:rsidRPr="007E08F7">
        <w:rPr>
          <w:rFonts w:eastAsia="Aptos"/>
          <w:sz w:val="20"/>
          <w:szCs w:val="20"/>
        </w:rPr>
        <w:t>Opracowanie Pomorskie Biuro Planowania Regionalnego</w:t>
      </w:r>
      <w:r w:rsidR="004779AC" w:rsidRPr="007E08F7">
        <w:rPr>
          <w:rFonts w:eastAsia="Aptos"/>
        </w:rPr>
        <w:br w:type="page"/>
      </w:r>
    </w:p>
    <w:p w14:paraId="3D95D8B2" w14:textId="13E06227" w:rsidR="002B6024" w:rsidRPr="007E08F7" w:rsidRDefault="002B6024" w:rsidP="002B6024">
      <w:pPr>
        <w:spacing w:before="120" w:after="120" w:line="288" w:lineRule="auto"/>
        <w:rPr>
          <w:rFonts w:eastAsia="Aptos"/>
        </w:rPr>
      </w:pPr>
      <w:r w:rsidRPr="007E08F7">
        <w:rPr>
          <w:rFonts w:eastAsia="Aptos"/>
        </w:rPr>
        <w:lastRenderedPageBreak/>
        <w:t>Ogólne ujęcie ustaleń i rekomendacji na poziomie strategii rozwoju województwa wymaga ich rozwinięcia w planie zagospodarowania przestrzennego województwa, który bezpośrednio oddziałuje na akty planowania przestrzennego stanowione na poziomie gminnym tj. plany ogólne i miejscowe plany zagospodarowania przestrzennego. Rozwinięcie to następuje przez system zasad kształtowania struktury funkcjonalno-przestrzennej jako ustaleń i rekomendacji regionalnej polityki przestrzennej wraz z</w:t>
      </w:r>
      <w:r w:rsidR="00E43263" w:rsidRPr="007E08F7">
        <w:rPr>
          <w:rFonts w:eastAsia="Aptos"/>
        </w:rPr>
        <w:t> </w:t>
      </w:r>
      <w:r w:rsidRPr="007E08F7">
        <w:rPr>
          <w:rFonts w:eastAsia="Aptos"/>
        </w:rPr>
        <w:t>ponadlokalnymi celami publicznymi.</w:t>
      </w:r>
    </w:p>
    <w:p w14:paraId="38A6F00B" w14:textId="70F9DE96" w:rsidR="002B6024" w:rsidRPr="007E08F7" w:rsidRDefault="002B6024" w:rsidP="002774ED">
      <w:pPr>
        <w:pStyle w:val="Nagwek2"/>
        <w:rPr>
          <w:lang w:eastAsia="pl-PL"/>
        </w:rPr>
      </w:pPr>
      <w:bookmarkStart w:id="77" w:name="_Toc239772100"/>
      <w:r w:rsidRPr="007E08F7">
        <w:rPr>
          <w:lang w:eastAsia="pl-PL"/>
        </w:rPr>
        <w:t>Sieć osadnicza</w:t>
      </w:r>
      <w:bookmarkEnd w:id="77"/>
    </w:p>
    <w:p w14:paraId="7753A57E" w14:textId="44F424B5" w:rsidR="002B6024" w:rsidRPr="007E08F7" w:rsidRDefault="002B6024">
      <w:pPr>
        <w:numPr>
          <w:ilvl w:val="0"/>
          <w:numId w:val="2"/>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KONCENTRACJA</w:t>
      </w:r>
      <w:r w:rsidRPr="007E08F7">
        <w:rPr>
          <w:rFonts w:eastAsia="Times New Roman" w:cs="Arial"/>
          <w:kern w:val="0"/>
          <w:lang w:eastAsia="pl-PL"/>
          <w14:ligatures w14:val="none"/>
        </w:rPr>
        <w:t>: kształtowanie zwartych przestrzennie struktur osadniczych, w</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szczególności miast, poprzez podnoszenie jakości środowiska zamieszkania i</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intensyfikację procesów urbanizacyjnych zwłaszcza w myśl koncepcji rozwoju urbanistycznego TOD (Transit-</w:t>
      </w:r>
      <w:proofErr w:type="spellStart"/>
      <w:r w:rsidRPr="007E08F7">
        <w:rPr>
          <w:rFonts w:eastAsia="Times New Roman" w:cs="Arial"/>
          <w:kern w:val="0"/>
          <w:lang w:eastAsia="pl-PL"/>
          <w14:ligatures w14:val="none"/>
        </w:rPr>
        <w:t>Oriented</w:t>
      </w:r>
      <w:proofErr w:type="spellEnd"/>
      <w:r w:rsidRPr="007E08F7">
        <w:rPr>
          <w:rFonts w:eastAsia="Times New Roman" w:cs="Arial"/>
          <w:kern w:val="0"/>
          <w:lang w:eastAsia="pl-PL"/>
          <w14:ligatures w14:val="none"/>
        </w:rPr>
        <w:t xml:space="preserve"> Development - </w:t>
      </w:r>
      <w:r w:rsidRPr="007E08F7">
        <w:rPr>
          <w:rFonts w:eastAsia="Aptos" w:cs="Arial"/>
        </w:rPr>
        <w:t>intensyfikacja zabudowy mieszkaniowej i usługowej wokół węzłów transportu zbiorowego</w:t>
      </w:r>
      <w:r w:rsidRPr="007E08F7">
        <w:rPr>
          <w:rFonts w:eastAsia="Times New Roman" w:cs="Arial"/>
          <w:kern w:val="0"/>
          <w:lang w:eastAsia="pl-PL"/>
          <w14:ligatures w14:val="none"/>
        </w:rPr>
        <w:t>);</w:t>
      </w:r>
    </w:p>
    <w:p w14:paraId="5F00C842" w14:textId="77777777" w:rsidR="002B6024" w:rsidRPr="007E08F7" w:rsidRDefault="002B6024">
      <w:pPr>
        <w:numPr>
          <w:ilvl w:val="0"/>
          <w:numId w:val="2"/>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PRZYWRACANIE</w:t>
      </w:r>
      <w:r w:rsidRPr="007E08F7">
        <w:rPr>
          <w:rFonts w:eastAsia="Times New Roman" w:cs="Arial"/>
          <w:kern w:val="0"/>
          <w:lang w:eastAsia="pl-PL"/>
          <w14:ligatures w14:val="none"/>
        </w:rPr>
        <w:t>: adaptacja zdegradowanych struktur miejskich i wiejskich poprzez rewitalizację obszarów poprzemysłowych, powojskowych oraz mieszkaniowych;</w:t>
      </w:r>
    </w:p>
    <w:p w14:paraId="3C0F84FC" w14:textId="26E8E620" w:rsidR="002B6024" w:rsidRPr="007E08F7" w:rsidRDefault="002B6024">
      <w:pPr>
        <w:numPr>
          <w:ilvl w:val="0"/>
          <w:numId w:val="2"/>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STRUKTURYZACJA</w:t>
      </w:r>
      <w:r w:rsidRPr="007E08F7">
        <w:rPr>
          <w:rFonts w:eastAsia="Times New Roman" w:cs="Arial"/>
          <w:kern w:val="0"/>
          <w:lang w:eastAsia="pl-PL"/>
          <w14:ligatures w14:val="none"/>
        </w:rPr>
        <w:t xml:space="preserve">: kształtowanie i porządkowanie struktury funkcjonalno-przestrzennej obszarów </w:t>
      </w:r>
      <w:proofErr w:type="spellStart"/>
      <w:r w:rsidRPr="007E08F7">
        <w:rPr>
          <w:rFonts w:eastAsia="Times New Roman" w:cs="Arial"/>
          <w:kern w:val="0"/>
          <w:lang w:eastAsia="pl-PL"/>
          <w14:ligatures w14:val="none"/>
        </w:rPr>
        <w:t>suburbanizacji</w:t>
      </w:r>
      <w:proofErr w:type="spellEnd"/>
      <w:r w:rsidRPr="007E08F7">
        <w:rPr>
          <w:rFonts w:eastAsia="Times New Roman" w:cs="Arial"/>
          <w:kern w:val="0"/>
          <w:lang w:eastAsia="pl-PL"/>
          <w14:ligatures w14:val="none"/>
        </w:rPr>
        <w:t xml:space="preserve">, zwłaszcza o charakterze </w:t>
      </w:r>
      <w:proofErr w:type="spellStart"/>
      <w:r w:rsidRPr="007E08F7">
        <w:rPr>
          <w:rFonts w:eastAsia="Times New Roman" w:cs="Arial"/>
          <w:kern w:val="0"/>
          <w:lang w:eastAsia="pl-PL"/>
          <w14:ligatures w14:val="none"/>
        </w:rPr>
        <w:t>monofunkcyjnym</w:t>
      </w:r>
      <w:proofErr w:type="spellEnd"/>
      <w:r w:rsidRPr="007E08F7">
        <w:rPr>
          <w:rFonts w:eastAsia="Times New Roman" w:cs="Arial"/>
          <w:kern w:val="0"/>
          <w:lang w:eastAsia="pl-PL"/>
          <w14:ligatures w14:val="none"/>
        </w:rPr>
        <w:t>, poprzez rozwój przestrzeni publicznych i lokalizację podstawowych usług, w tym o</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charakterze publicznym;</w:t>
      </w:r>
    </w:p>
    <w:p w14:paraId="3A6D9ECC" w14:textId="77777777" w:rsidR="002B6024" w:rsidRPr="007E08F7" w:rsidRDefault="002B6024">
      <w:pPr>
        <w:numPr>
          <w:ilvl w:val="0"/>
          <w:numId w:val="2"/>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WERYFIKACJA</w:t>
      </w:r>
      <w:r w:rsidRPr="007E08F7">
        <w:rPr>
          <w:rFonts w:eastAsia="Times New Roman" w:cs="Arial"/>
          <w:kern w:val="0"/>
          <w:lang w:eastAsia="pl-PL"/>
          <w14:ligatures w14:val="none"/>
        </w:rPr>
        <w:t>: sukcesywny przegląd zasadności wyznaczania obszarów rozwojowych, w tym zwłaszcza nowych obszarów mieszkaniowych;</w:t>
      </w:r>
    </w:p>
    <w:p w14:paraId="1A71DD7D" w14:textId="77777777" w:rsidR="002B6024" w:rsidRPr="007E08F7" w:rsidRDefault="002B6024">
      <w:pPr>
        <w:numPr>
          <w:ilvl w:val="0"/>
          <w:numId w:val="2"/>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ETAPOWANIE</w:t>
      </w:r>
      <w:r w:rsidRPr="007E08F7">
        <w:rPr>
          <w:rFonts w:eastAsia="Times New Roman" w:cs="Arial"/>
          <w:kern w:val="0"/>
          <w:lang w:eastAsia="pl-PL"/>
          <w14:ligatures w14:val="none"/>
        </w:rPr>
        <w:t>: otwieranie nowych obszarów rozwojowych, zwłaszcza mieszkaniowych i mieszkaniowo-usługowych, wyłącznie w oparciu o rzeczywiste potrzeby mieszkaniowe i rozwojowe oraz możliwości zapewnienia infrastruktury technicznej, usług publicznych i obsługi transportowej, pozwalające kształtować zwarte, kompletnie wyposażone struktury osadnicze;</w:t>
      </w:r>
    </w:p>
    <w:p w14:paraId="1D4AD509" w14:textId="77777777" w:rsidR="002B6024" w:rsidRPr="007E08F7" w:rsidRDefault="002B6024">
      <w:pPr>
        <w:numPr>
          <w:ilvl w:val="0"/>
          <w:numId w:val="2"/>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ADAPTACJA</w:t>
      </w:r>
      <w:r w:rsidRPr="007E08F7">
        <w:rPr>
          <w:rFonts w:eastAsia="Times New Roman" w:cs="Arial"/>
          <w:kern w:val="0"/>
          <w:lang w:eastAsia="pl-PL"/>
          <w14:ligatures w14:val="none"/>
        </w:rPr>
        <w:t>: przystosowanie struktur osadniczych do zagrożeń bezpieczeństwa oraz zwiększanie ich odporności na kryzysy o charakterze naturalnym, cywilnym, terrorystycznym i militarnym;</w:t>
      </w:r>
    </w:p>
    <w:p w14:paraId="319D6C93" w14:textId="535A37FF" w:rsidR="002B6024" w:rsidRPr="007E08F7" w:rsidRDefault="002B6024">
      <w:pPr>
        <w:numPr>
          <w:ilvl w:val="0"/>
          <w:numId w:val="2"/>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KOORDYNACJA</w:t>
      </w:r>
      <w:r w:rsidRPr="007E08F7">
        <w:rPr>
          <w:rFonts w:eastAsia="Times New Roman" w:cs="Arial"/>
          <w:kern w:val="0"/>
          <w:lang w:eastAsia="pl-PL"/>
          <w14:ligatures w14:val="none"/>
        </w:rPr>
        <w:t>: rozwój osadnictwa w powiązaniu z przepustowością, dostępnością i planowanym rozwojem systemów infrastruktury technicznej, wpływających na jakość i poziom życia zarówno w sposób bezpośredni (dostępność udogodnień cywilizacyjnych), jak i pośredni (jakość środowiska życia i pracy)</w:t>
      </w:r>
      <w:r w:rsidR="000473C9" w:rsidRPr="007E08F7">
        <w:rPr>
          <w:rFonts w:eastAsia="Times New Roman" w:cs="Arial"/>
          <w:kern w:val="0"/>
          <w:lang w:eastAsia="pl-PL"/>
          <w14:ligatures w14:val="none"/>
        </w:rPr>
        <w:t>.</w:t>
      </w:r>
    </w:p>
    <w:p w14:paraId="7F5B09E8" w14:textId="3CDD21D2" w:rsidR="002B6024" w:rsidRPr="007E08F7" w:rsidRDefault="002B6024" w:rsidP="002774ED">
      <w:pPr>
        <w:pStyle w:val="Nagwek2"/>
        <w:rPr>
          <w:lang w:eastAsia="pl-PL"/>
        </w:rPr>
      </w:pPr>
      <w:bookmarkStart w:id="78" w:name="_Toc239772101"/>
      <w:r w:rsidRPr="007E08F7">
        <w:rPr>
          <w:lang w:eastAsia="pl-PL"/>
        </w:rPr>
        <w:lastRenderedPageBreak/>
        <w:t>Funkcje i usługi</w:t>
      </w:r>
      <w:bookmarkEnd w:id="78"/>
    </w:p>
    <w:p w14:paraId="6298068F" w14:textId="3AF77B9F" w:rsidR="002B6024" w:rsidRPr="007E08F7" w:rsidRDefault="002B6024">
      <w:pPr>
        <w:numPr>
          <w:ilvl w:val="0"/>
          <w:numId w:val="3"/>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WZMACNIANIE</w:t>
      </w:r>
      <w:r w:rsidRPr="007E08F7">
        <w:rPr>
          <w:rFonts w:eastAsia="Times New Roman" w:cs="Arial"/>
          <w:kern w:val="0"/>
          <w:lang w:eastAsia="pl-PL"/>
          <w14:ligatures w14:val="none"/>
        </w:rPr>
        <w:t>: rozwój istniejących i kształtowanie nowych potencjałów miastotwórczych, w tym usług publicznych o różnej randze – od lokalnych po</w:t>
      </w:r>
      <w:r w:rsidR="000473C9" w:rsidRPr="007E08F7">
        <w:rPr>
          <w:rFonts w:eastAsia="Times New Roman" w:cs="Arial"/>
          <w:kern w:val="0"/>
          <w:lang w:eastAsia="pl-PL"/>
          <w14:ligatures w14:val="none"/>
        </w:rPr>
        <w:t> </w:t>
      </w:r>
      <w:r w:rsidRPr="007E08F7">
        <w:rPr>
          <w:rFonts w:eastAsia="Times New Roman" w:cs="Arial"/>
          <w:kern w:val="0"/>
          <w:lang w:eastAsia="pl-PL"/>
          <w14:ligatures w14:val="none"/>
        </w:rPr>
        <w:t>ponadregionalne i międzynarodowe – w dostosowaniu do rangi miast i wielkości ich obszarów obsługi;</w:t>
      </w:r>
    </w:p>
    <w:p w14:paraId="7D4090C2" w14:textId="236AF336" w:rsidR="002B6024" w:rsidRPr="007E08F7" w:rsidRDefault="002B6024">
      <w:pPr>
        <w:numPr>
          <w:ilvl w:val="0"/>
          <w:numId w:val="3"/>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ADAPTACJA</w:t>
      </w:r>
      <w:r w:rsidRPr="007E08F7">
        <w:rPr>
          <w:rFonts w:eastAsia="Times New Roman" w:cs="Arial"/>
          <w:kern w:val="0"/>
          <w:lang w:eastAsia="pl-PL"/>
          <w14:ligatures w14:val="none"/>
        </w:rPr>
        <w:t xml:space="preserve">: wprowadzanie usług, w tym publicznych, </w:t>
      </w:r>
      <w:r w:rsidRPr="007E08F7">
        <w:rPr>
          <w:rFonts w:eastAsia="Aptos" w:cs="Segoe UI"/>
        </w:rPr>
        <w:t>w pierwszej kolejności z</w:t>
      </w:r>
      <w:r w:rsidR="00E43263" w:rsidRPr="007E08F7">
        <w:rPr>
          <w:rFonts w:eastAsia="Aptos" w:cs="Segoe UI"/>
        </w:rPr>
        <w:t> </w:t>
      </w:r>
      <w:r w:rsidRPr="007E08F7">
        <w:rPr>
          <w:rFonts w:eastAsia="Aptos" w:cs="Segoe UI"/>
        </w:rPr>
        <w:t>wykorzystaniem istniejącego zasobu obiektów i obszarów, stanowiących dziedzictwo kulturowe regionu, jako jeden ze sposobów ich ochrony, rewaloryzacji i</w:t>
      </w:r>
      <w:r w:rsidR="00E43263" w:rsidRPr="007E08F7">
        <w:rPr>
          <w:rFonts w:eastAsia="Aptos" w:cs="Segoe UI"/>
        </w:rPr>
        <w:t> </w:t>
      </w:r>
      <w:r w:rsidRPr="007E08F7">
        <w:rPr>
          <w:rFonts w:eastAsia="Aptos" w:cs="Segoe UI"/>
        </w:rPr>
        <w:t>przywracania</w:t>
      </w:r>
      <w:r w:rsidRPr="007E08F7">
        <w:rPr>
          <w:rFonts w:eastAsia="Times New Roman" w:cs="Arial"/>
          <w:kern w:val="0"/>
          <w:lang w:eastAsia="pl-PL"/>
          <w14:ligatures w14:val="none"/>
        </w:rPr>
        <w:t xml:space="preserve"> im funkcji w krajobrazie kulturowym;</w:t>
      </w:r>
    </w:p>
    <w:p w14:paraId="30FE6980" w14:textId="77777777" w:rsidR="002B6024" w:rsidRPr="007E08F7" w:rsidRDefault="002B6024">
      <w:pPr>
        <w:numPr>
          <w:ilvl w:val="0"/>
          <w:numId w:val="3"/>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AKTYWIZACJA</w:t>
      </w:r>
      <w:r w:rsidRPr="007E08F7">
        <w:rPr>
          <w:rFonts w:eastAsia="Times New Roman" w:cs="Arial"/>
          <w:kern w:val="0"/>
          <w:lang w:eastAsia="pl-PL"/>
          <w14:ligatures w14:val="none"/>
        </w:rPr>
        <w:t>: kształtowanie przestrzeni publicznych wokół węzłów publicznego transportu zbiorowego jako miejsc integracji mieszkańców oraz lokalizacji usług publicznych;</w:t>
      </w:r>
    </w:p>
    <w:p w14:paraId="2B221344" w14:textId="77777777" w:rsidR="002B6024" w:rsidRPr="007E08F7" w:rsidRDefault="002B6024">
      <w:pPr>
        <w:numPr>
          <w:ilvl w:val="0"/>
          <w:numId w:val="3"/>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KOTWICZENIE</w:t>
      </w:r>
      <w:r w:rsidRPr="007E08F7">
        <w:rPr>
          <w:rFonts w:eastAsia="Times New Roman" w:cs="Arial"/>
          <w:kern w:val="0"/>
          <w:lang w:eastAsia="pl-PL"/>
          <w14:ligatures w14:val="none"/>
        </w:rPr>
        <w:t>: rozwój funkcji gospodarczych w portach morskich, ich otoczeniu oraz wokół bocznic kolejowych i węzłów transportu drogowego jako kluczowych węzłów koncentracji aktywności gospodarczej wzmacniających konkurencyjność gospodarczą regionu;</w:t>
      </w:r>
    </w:p>
    <w:p w14:paraId="5549E148" w14:textId="2C947C0A" w:rsidR="002B6024" w:rsidRPr="007E08F7" w:rsidRDefault="002B6024">
      <w:pPr>
        <w:numPr>
          <w:ilvl w:val="0"/>
          <w:numId w:val="3"/>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METROPOLIZACJA</w:t>
      </w:r>
      <w:r w:rsidRPr="007E08F7">
        <w:rPr>
          <w:rFonts w:eastAsia="Times New Roman" w:cs="Arial"/>
          <w:kern w:val="0"/>
          <w:lang w:eastAsia="pl-PL"/>
          <w14:ligatures w14:val="none"/>
        </w:rPr>
        <w:t>: rozwijanie funkcji metropolitalnych Trójmiasta jako generatorów powiązań społecznych, kulturowych, naukowych i gospodarczych regionu z</w:t>
      </w:r>
      <w:r w:rsidR="000473C9" w:rsidRPr="007E08F7">
        <w:rPr>
          <w:rFonts w:eastAsia="Times New Roman" w:cs="Arial"/>
          <w:kern w:val="0"/>
          <w:lang w:eastAsia="pl-PL"/>
          <w14:ligatures w14:val="none"/>
        </w:rPr>
        <w:t> </w:t>
      </w:r>
      <w:r w:rsidRPr="007E08F7">
        <w:rPr>
          <w:rFonts w:eastAsia="Times New Roman" w:cs="Arial"/>
          <w:kern w:val="0"/>
          <w:lang w:eastAsia="pl-PL"/>
          <w14:ligatures w14:val="none"/>
        </w:rPr>
        <w:t>otoczeniem globalnym</w:t>
      </w:r>
      <w:r w:rsidRPr="007E08F7">
        <w:rPr>
          <w:rFonts w:eastAsia="Aptos"/>
        </w:rPr>
        <w:t xml:space="preserve"> </w:t>
      </w:r>
      <w:r w:rsidRPr="007E08F7">
        <w:rPr>
          <w:rFonts w:eastAsia="Times New Roman" w:cs="Arial"/>
          <w:kern w:val="0"/>
          <w:lang w:eastAsia="pl-PL"/>
          <w14:ligatures w14:val="none"/>
        </w:rPr>
        <w:t>oraz wzmacnianie dyfuzji tych funkcji do pozostałych części regionu;</w:t>
      </w:r>
    </w:p>
    <w:p w14:paraId="0E546F3C" w14:textId="2850A3EA" w:rsidR="002B6024" w:rsidRPr="007E08F7" w:rsidRDefault="002B6024">
      <w:pPr>
        <w:numPr>
          <w:ilvl w:val="0"/>
          <w:numId w:val="3"/>
        </w:numPr>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KOMPLEKSOWOŚĆ</w:t>
      </w:r>
      <w:r w:rsidRPr="007E08F7">
        <w:rPr>
          <w:rFonts w:eastAsia="Times New Roman" w:cs="Arial"/>
          <w:kern w:val="0"/>
          <w:lang w:eastAsia="pl-PL"/>
          <w14:ligatures w14:val="none"/>
        </w:rPr>
        <w:t xml:space="preserve">: rozwijanie oferty turystycznej, w tym w szczególności całorocznej </w:t>
      </w:r>
      <w:r w:rsidRPr="007E08F7">
        <w:rPr>
          <w:rFonts w:eastAsia="Aptos" w:cs="Segoe UI"/>
        </w:rPr>
        <w:t>i integrowanej w ramach oferty sieciowej,</w:t>
      </w:r>
      <w:r w:rsidRPr="007E08F7">
        <w:rPr>
          <w:rFonts w:eastAsia="Times New Roman" w:cs="Arial"/>
          <w:kern w:val="0"/>
          <w:lang w:eastAsia="pl-PL"/>
          <w14:ligatures w14:val="none"/>
        </w:rPr>
        <w:t xml:space="preserve"> w oparciu o zasoby oraz walory przyrodniczo-kulturowe i krajobrazowe regionu,</w:t>
      </w:r>
      <w:r w:rsidRPr="007E08F7">
        <w:rPr>
          <w:rFonts w:eastAsia="Aptos"/>
        </w:rPr>
        <w:t xml:space="preserve"> </w:t>
      </w:r>
      <w:r w:rsidRPr="007E08F7">
        <w:rPr>
          <w:rFonts w:eastAsia="Times New Roman" w:cs="Arial"/>
          <w:kern w:val="0"/>
          <w:lang w:eastAsia="pl-PL"/>
          <w14:ligatures w14:val="none"/>
        </w:rPr>
        <w:t>przy dostosowaniu skali rozwoju turystyki do możliwości środowiskowych i krajobrazowych obszarów turystycznych</w:t>
      </w:r>
      <w:r w:rsidR="000473C9" w:rsidRPr="007E08F7">
        <w:rPr>
          <w:rFonts w:eastAsia="Times New Roman" w:cs="Arial"/>
          <w:kern w:val="0"/>
          <w:lang w:eastAsia="pl-PL"/>
          <w14:ligatures w14:val="none"/>
        </w:rPr>
        <w:t>.</w:t>
      </w:r>
    </w:p>
    <w:p w14:paraId="583C0FBC" w14:textId="0A673C8D" w:rsidR="002B6024" w:rsidRPr="007E08F7" w:rsidRDefault="002B6024" w:rsidP="002774ED">
      <w:pPr>
        <w:pStyle w:val="Nagwek2"/>
        <w:rPr>
          <w:lang w:eastAsia="pl-PL"/>
        </w:rPr>
      </w:pPr>
      <w:bookmarkStart w:id="79" w:name="_Toc239772102"/>
      <w:r w:rsidRPr="007E08F7">
        <w:rPr>
          <w:lang w:eastAsia="pl-PL"/>
        </w:rPr>
        <w:t>Środowisko i klimat</w:t>
      </w:r>
      <w:bookmarkEnd w:id="79"/>
    </w:p>
    <w:p w14:paraId="13348F51" w14:textId="77777777" w:rsidR="002B6024" w:rsidRPr="007E08F7" w:rsidRDefault="002B6024">
      <w:pPr>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INTEGRACJA</w:t>
      </w:r>
      <w:r w:rsidRPr="007E08F7">
        <w:rPr>
          <w:rFonts w:eastAsia="Times New Roman" w:cs="Arial"/>
          <w:kern w:val="0"/>
          <w:lang w:eastAsia="pl-PL"/>
          <w14:ligatures w14:val="none"/>
        </w:rPr>
        <w:t>: kształtowanie spójności i ciągłości przestrzennej między obszarami cennymi przyrodniczo, zapewniającej ochronę bioróżnorodności i odporność regionu na zmiany środowiskowe, w tym w szczególności klimatyczne;</w:t>
      </w:r>
    </w:p>
    <w:p w14:paraId="626ADF1B" w14:textId="77777777" w:rsidR="002B6024" w:rsidRPr="007E08F7" w:rsidRDefault="002B6024">
      <w:pPr>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b/>
          <w:bCs/>
        </w:rPr>
        <w:t>DBAŁOŚĆ</w:t>
      </w:r>
      <w:r w:rsidRPr="007E08F7">
        <w:rPr>
          <w:rFonts w:eastAsia="Times New Roman"/>
        </w:rPr>
        <w:t>: kształtowanie struktur przestrzennych sprzyjających zachowaniu terenów otwartych, w szczególności rolnych, ograniczaniu rozpraszania zabudowy, utrzymaniu czytelnych granic jednostek osadniczych oraz ochronie lokalnej tożsamości</w:t>
      </w:r>
      <w:r w:rsidRPr="007E08F7">
        <w:rPr>
          <w:rFonts w:eastAsia="Times New Roman" w:cs="Arial"/>
          <w:kern w:val="0"/>
          <w:lang w:eastAsia="pl-PL"/>
          <w14:ligatures w14:val="none"/>
        </w:rPr>
        <w:t>;</w:t>
      </w:r>
    </w:p>
    <w:p w14:paraId="38FDEFFE" w14:textId="77777777" w:rsidR="002B6024" w:rsidRPr="007E08F7" w:rsidRDefault="002B6024">
      <w:pPr>
        <w:keepLines/>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lastRenderedPageBreak/>
        <w:t>ADAPTACJA</w:t>
      </w:r>
      <w:r w:rsidRPr="007E08F7">
        <w:rPr>
          <w:rFonts w:eastAsia="Times New Roman" w:cs="Arial"/>
          <w:kern w:val="0"/>
          <w:lang w:eastAsia="pl-PL"/>
          <w14:ligatures w14:val="none"/>
        </w:rPr>
        <w:t>: przystosowanie miast i obszarów zurbanizowanych do zmian klimatu oraz zwiększanie ich odporności na zagrożenia środowiskowe,</w:t>
      </w:r>
      <w:r w:rsidRPr="007E08F7">
        <w:rPr>
          <w:rFonts w:eastAsia="Aptos"/>
        </w:rPr>
        <w:t xml:space="preserve"> </w:t>
      </w:r>
      <w:r w:rsidRPr="007E08F7">
        <w:rPr>
          <w:rFonts w:eastAsia="Times New Roman" w:cs="Arial"/>
          <w:kern w:val="0"/>
          <w:lang w:eastAsia="pl-PL"/>
          <w14:ligatures w14:val="none"/>
        </w:rPr>
        <w:t>w szczególności przez rozwój błękitno-zielonej infrastruktury, retencję oraz ograniczanie miejskich wysp ciepła;</w:t>
      </w:r>
    </w:p>
    <w:p w14:paraId="00ECAD4F" w14:textId="77777777" w:rsidR="002B6024" w:rsidRPr="007E08F7" w:rsidRDefault="002B6024">
      <w:pPr>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ODBUDOWA</w:t>
      </w:r>
      <w:r w:rsidRPr="007E08F7">
        <w:rPr>
          <w:rFonts w:eastAsia="Times New Roman" w:cs="Arial"/>
          <w:kern w:val="0"/>
          <w:lang w:eastAsia="pl-PL"/>
          <w14:ligatures w14:val="none"/>
        </w:rPr>
        <w:t>: przywracanie właściwych warunków ekologicznych zasobom przyrodniczym w celu zapewnienia ich prawidłowego funkcjonowania;</w:t>
      </w:r>
    </w:p>
    <w:p w14:paraId="12C14E7F" w14:textId="77777777" w:rsidR="002B6024" w:rsidRPr="007E08F7" w:rsidRDefault="002B6024">
      <w:pPr>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OGRANICZANIE</w:t>
      </w:r>
      <w:r w:rsidRPr="007E08F7">
        <w:rPr>
          <w:rFonts w:eastAsia="Times New Roman" w:cs="Arial"/>
          <w:kern w:val="0"/>
          <w:lang w:eastAsia="pl-PL"/>
          <w14:ligatures w14:val="none"/>
        </w:rPr>
        <w:t>: minimalizowanie presji inwestycyjnej na obszarach o szczególnym znaczeniu dla zachowania zasobów przyrodniczych, kulturowych i krajobrazowych regionu;</w:t>
      </w:r>
    </w:p>
    <w:p w14:paraId="1CED2AB8" w14:textId="77777777" w:rsidR="002B6024" w:rsidRPr="007E08F7" w:rsidRDefault="002B6024">
      <w:pPr>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OSTROŻNOŚĆ</w:t>
      </w:r>
      <w:r w:rsidRPr="007E08F7">
        <w:rPr>
          <w:rFonts w:eastAsia="Times New Roman" w:cs="Arial"/>
          <w:kern w:val="0"/>
          <w:lang w:eastAsia="pl-PL"/>
          <w14:ligatures w14:val="none"/>
        </w:rPr>
        <w:t>: tworzenie warunków inwestycyjnych zapewniających bezpieczeństwo ekologiczne zasobów środowiska, w szczególności w odniesieniu do jakości wód i gleb, dzięki racjonalnie zorganizowanym systemom gospodarki wodno-ściekowej i odpadowej;</w:t>
      </w:r>
    </w:p>
    <w:p w14:paraId="518C85E2" w14:textId="1CBAAAE1" w:rsidR="002B6024" w:rsidRPr="007E08F7" w:rsidRDefault="002B6024">
      <w:pPr>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OCHRONA</w:t>
      </w:r>
      <w:r w:rsidRPr="007E08F7">
        <w:rPr>
          <w:rFonts w:eastAsia="Times New Roman" w:cs="Arial"/>
          <w:kern w:val="0"/>
          <w:lang w:eastAsia="pl-PL"/>
          <w14:ligatures w14:val="none"/>
        </w:rPr>
        <w:t>: poszanowanie tradycji i tożsamości przestrzeni kulturowej i</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historycznej, pozwalające na zachowanie najcenniejszych zasobów i walorów dziedzictwa kulturowego regionu;</w:t>
      </w:r>
    </w:p>
    <w:p w14:paraId="16F917AB" w14:textId="6BB2A8DF" w:rsidR="002B6024" w:rsidRPr="007E08F7" w:rsidRDefault="002B6024">
      <w:pPr>
        <w:numPr>
          <w:ilvl w:val="0"/>
          <w:numId w:val="4"/>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PRODUKTYWNOŚĆ</w:t>
      </w:r>
      <w:r w:rsidRPr="007E08F7">
        <w:rPr>
          <w:rFonts w:eastAsia="Times New Roman" w:cs="Arial"/>
          <w:kern w:val="0"/>
          <w:lang w:eastAsia="pl-PL"/>
          <w14:ligatures w14:val="none"/>
        </w:rPr>
        <w:t xml:space="preserve">: tworzenie warunków przestrzennych dla kształtowania stref produkcji i zaopatrzenia żywnościowego oraz rolnictwa </w:t>
      </w:r>
      <w:proofErr w:type="spellStart"/>
      <w:r w:rsidRPr="007E08F7">
        <w:rPr>
          <w:rFonts w:eastAsia="Times New Roman" w:cs="Arial"/>
          <w:kern w:val="0"/>
          <w:lang w:eastAsia="pl-PL"/>
          <w14:ligatures w14:val="none"/>
        </w:rPr>
        <w:t>regeneratywnego</w:t>
      </w:r>
      <w:proofErr w:type="spellEnd"/>
      <w:r w:rsidRPr="007E08F7">
        <w:rPr>
          <w:rFonts w:eastAsia="Times New Roman" w:cs="Arial"/>
          <w:kern w:val="0"/>
          <w:lang w:eastAsia="pl-PL"/>
          <w14:ligatures w14:val="none"/>
        </w:rPr>
        <w:t>, sprzyjających ochronie i poprawie potencjału produkcyjnego gleb</w:t>
      </w:r>
      <w:r w:rsidR="000473C9" w:rsidRPr="007E08F7">
        <w:rPr>
          <w:rFonts w:eastAsia="Times New Roman" w:cs="Arial"/>
          <w:kern w:val="0"/>
          <w:lang w:eastAsia="pl-PL"/>
          <w14:ligatures w14:val="none"/>
        </w:rPr>
        <w:t>.</w:t>
      </w:r>
    </w:p>
    <w:p w14:paraId="6D0DADC5" w14:textId="358A96BC" w:rsidR="002B6024" w:rsidRPr="007E08F7" w:rsidRDefault="002B6024" w:rsidP="002774ED">
      <w:pPr>
        <w:pStyle w:val="Nagwek2"/>
        <w:rPr>
          <w:lang w:eastAsia="pl-PL"/>
        </w:rPr>
      </w:pPr>
      <w:bookmarkStart w:id="80" w:name="_Toc239772103"/>
      <w:r w:rsidRPr="007E08F7">
        <w:rPr>
          <w:lang w:eastAsia="pl-PL"/>
        </w:rPr>
        <w:t>Energia</w:t>
      </w:r>
      <w:bookmarkEnd w:id="80"/>
    </w:p>
    <w:p w14:paraId="40D056AD" w14:textId="77777777" w:rsidR="002B6024" w:rsidRPr="007E08F7" w:rsidRDefault="002B6024">
      <w:pPr>
        <w:numPr>
          <w:ilvl w:val="0"/>
          <w:numId w:val="5"/>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ODPORNOŚĆ</w:t>
      </w:r>
      <w:r w:rsidRPr="007E08F7">
        <w:rPr>
          <w:rFonts w:eastAsia="Times New Roman" w:cs="Arial"/>
          <w:kern w:val="0"/>
          <w:lang w:eastAsia="pl-PL"/>
          <w14:ligatures w14:val="none"/>
        </w:rPr>
        <w:t xml:space="preserve">: wykorzystanie warunków przestrzennych regionu, w tym nadmorskiego położenia, do rozwoju </w:t>
      </w:r>
      <w:proofErr w:type="spellStart"/>
      <w:r w:rsidRPr="007E08F7">
        <w:rPr>
          <w:rFonts w:eastAsia="Times New Roman" w:cs="Arial"/>
          <w:kern w:val="0"/>
          <w:lang w:eastAsia="pl-PL"/>
          <w14:ligatures w14:val="none"/>
        </w:rPr>
        <w:t>hubu</w:t>
      </w:r>
      <w:proofErr w:type="spellEnd"/>
      <w:r w:rsidRPr="007E08F7">
        <w:rPr>
          <w:rFonts w:eastAsia="Times New Roman" w:cs="Arial"/>
          <w:kern w:val="0"/>
          <w:lang w:eastAsia="pl-PL"/>
          <w14:ligatures w14:val="none"/>
        </w:rPr>
        <w:t xml:space="preserve"> paliwowo-energetycznego zapewniającego pewność dostaw, niezależność i suwerenność energetyczną państwa oraz regionu;</w:t>
      </w:r>
    </w:p>
    <w:p w14:paraId="139A0B49" w14:textId="15CDE729" w:rsidR="002B6024" w:rsidRPr="007E08F7" w:rsidRDefault="002B6024">
      <w:pPr>
        <w:numPr>
          <w:ilvl w:val="0"/>
          <w:numId w:val="5"/>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KREACJA</w:t>
      </w:r>
      <w:r w:rsidRPr="007E08F7">
        <w:rPr>
          <w:rFonts w:eastAsia="Times New Roman" w:cs="Arial"/>
          <w:kern w:val="0"/>
          <w:lang w:eastAsia="pl-PL"/>
          <w14:ligatures w14:val="none"/>
        </w:rPr>
        <w:t>: wykorzystanie zasobów energii odnawialnej i biomasy do zapewnienia samowystarczalności energetycznej na poziomie lokalnym w oparciu o krajowe i</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regionalne potencjały rozwoju odnawialnych źródeł energii;</w:t>
      </w:r>
    </w:p>
    <w:p w14:paraId="17AF9A3B" w14:textId="392D3A31" w:rsidR="002B6024" w:rsidRPr="007E08F7" w:rsidRDefault="002B6024">
      <w:pPr>
        <w:numPr>
          <w:ilvl w:val="0"/>
          <w:numId w:val="5"/>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ODPOWIEDZIALNOŚĆ</w:t>
      </w:r>
      <w:r w:rsidRPr="007E08F7">
        <w:rPr>
          <w:rFonts w:eastAsia="Times New Roman" w:cs="Arial"/>
          <w:kern w:val="0"/>
          <w:lang w:eastAsia="pl-PL"/>
          <w14:ligatures w14:val="none"/>
        </w:rPr>
        <w:t>: rozwój OZE przy uwzględnieniu potrzeb ochrony zasobów i</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wartości przyrodniczych, kulturowych i krajobrazowych oraz głosu mieszkańców;</w:t>
      </w:r>
    </w:p>
    <w:p w14:paraId="46BC9171" w14:textId="7E43E5B0" w:rsidR="002B6024" w:rsidRPr="007E08F7" w:rsidRDefault="002B6024">
      <w:pPr>
        <w:numPr>
          <w:ilvl w:val="0"/>
          <w:numId w:val="5"/>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TRANSFORMACJA</w:t>
      </w:r>
      <w:r w:rsidRPr="007E08F7">
        <w:rPr>
          <w:rFonts w:eastAsia="Times New Roman" w:cs="Arial"/>
          <w:kern w:val="0"/>
          <w:lang w:eastAsia="pl-PL"/>
          <w14:ligatures w14:val="none"/>
        </w:rPr>
        <w:t>: wykorzystanie potencjału transformacji energetycznej, wynikającego z przeniesienia bieguna energetycznego z południa na północ kraju, do</w:t>
      </w:r>
      <w:r w:rsidR="00E43263" w:rsidRPr="007E08F7">
        <w:rPr>
          <w:rFonts w:eastAsia="Times New Roman" w:cs="Arial"/>
          <w:kern w:val="0"/>
          <w:lang w:eastAsia="pl-PL"/>
          <w14:ligatures w14:val="none"/>
        </w:rPr>
        <w:t> </w:t>
      </w:r>
      <w:r w:rsidRPr="007E08F7">
        <w:rPr>
          <w:rFonts w:eastAsia="Times New Roman" w:cs="Arial"/>
          <w:kern w:val="0"/>
          <w:lang w:eastAsia="pl-PL"/>
          <w14:ligatures w14:val="none"/>
        </w:rPr>
        <w:t>rozwoju nowoczesnej i konkurencyjnej gospodarki;</w:t>
      </w:r>
    </w:p>
    <w:p w14:paraId="5D875648" w14:textId="19D9AF70" w:rsidR="002B6024" w:rsidRPr="007E08F7" w:rsidRDefault="002B6024">
      <w:pPr>
        <w:numPr>
          <w:ilvl w:val="0"/>
          <w:numId w:val="5"/>
        </w:numPr>
        <w:tabs>
          <w:tab w:val="num" w:pos="567"/>
        </w:tabs>
        <w:spacing w:before="120" w:after="120" w:line="288" w:lineRule="auto"/>
        <w:ind w:left="357" w:hanging="357"/>
        <w:rPr>
          <w:rFonts w:eastAsia="Times New Roman" w:cs="Arial"/>
          <w:kern w:val="0"/>
          <w:lang w:eastAsia="pl-PL"/>
          <w14:ligatures w14:val="none"/>
        </w:rPr>
      </w:pPr>
      <w:r w:rsidRPr="007E08F7">
        <w:rPr>
          <w:rFonts w:eastAsia="Times New Roman" w:cs="Arial"/>
          <w:b/>
          <w:bCs/>
          <w:kern w:val="0"/>
          <w:lang w:eastAsia="pl-PL"/>
          <w14:ligatures w14:val="none"/>
        </w:rPr>
        <w:t>BEZPIECZEŃSTWO</w:t>
      </w:r>
      <w:r w:rsidRPr="007E08F7">
        <w:rPr>
          <w:rFonts w:eastAsia="Times New Roman" w:cs="Arial"/>
          <w:kern w:val="0"/>
          <w:lang w:eastAsia="pl-PL"/>
          <w14:ligatures w14:val="none"/>
        </w:rPr>
        <w:t>: rozwój sieci elektroenergetycznych, gazowych i paliwowych przy poszanowaniu zasobów i wartości przyrodniczych, kulturowych i</w:t>
      </w:r>
      <w:r w:rsidR="00310B6F" w:rsidRPr="007E08F7">
        <w:rPr>
          <w:rFonts w:eastAsia="Times New Roman" w:cs="Arial"/>
          <w:kern w:val="0"/>
          <w:lang w:eastAsia="pl-PL"/>
          <w14:ligatures w14:val="none"/>
        </w:rPr>
        <w:t> </w:t>
      </w:r>
      <w:r w:rsidRPr="007E08F7">
        <w:rPr>
          <w:rFonts w:eastAsia="Times New Roman" w:cs="Arial"/>
          <w:kern w:val="0"/>
          <w:lang w:eastAsia="pl-PL"/>
          <w14:ligatures w14:val="none"/>
        </w:rPr>
        <w:t>krajobrazowych regionu</w:t>
      </w:r>
      <w:r w:rsidR="000473C9" w:rsidRPr="007E08F7">
        <w:rPr>
          <w:rFonts w:eastAsia="Times New Roman" w:cs="Arial"/>
          <w:kern w:val="0"/>
          <w:lang w:eastAsia="pl-PL"/>
          <w14:ligatures w14:val="none"/>
        </w:rPr>
        <w:t>.</w:t>
      </w:r>
    </w:p>
    <w:p w14:paraId="383E8B07" w14:textId="20C575E7" w:rsidR="002B6024" w:rsidRPr="007E08F7" w:rsidRDefault="002B6024" w:rsidP="002774ED">
      <w:pPr>
        <w:pStyle w:val="Nagwek2"/>
        <w:rPr>
          <w:lang w:eastAsia="pl-PL"/>
        </w:rPr>
      </w:pPr>
      <w:bookmarkStart w:id="81" w:name="_Toc239772104"/>
      <w:r w:rsidRPr="007E08F7">
        <w:rPr>
          <w:lang w:eastAsia="pl-PL"/>
        </w:rPr>
        <w:lastRenderedPageBreak/>
        <w:t>Mobilność</w:t>
      </w:r>
      <w:bookmarkEnd w:id="81"/>
    </w:p>
    <w:p w14:paraId="52685113" w14:textId="77777777" w:rsidR="002B6024" w:rsidRPr="007E08F7" w:rsidRDefault="002B6024">
      <w:pPr>
        <w:numPr>
          <w:ilvl w:val="0"/>
          <w:numId w:val="6"/>
        </w:numPr>
        <w:tabs>
          <w:tab w:val="clear" w:pos="720"/>
          <w:tab w:val="num" w:pos="567"/>
        </w:tabs>
        <w:spacing w:before="120" w:after="120" w:line="288" w:lineRule="auto"/>
        <w:ind w:left="567" w:hanging="283"/>
        <w:rPr>
          <w:rFonts w:eastAsia="Times New Roman" w:cs="Arial"/>
          <w:kern w:val="0"/>
          <w:lang w:eastAsia="pl-PL"/>
          <w14:ligatures w14:val="none"/>
        </w:rPr>
      </w:pPr>
      <w:r w:rsidRPr="007E08F7">
        <w:rPr>
          <w:rFonts w:eastAsia="Times New Roman" w:cs="Arial"/>
          <w:b/>
          <w:bCs/>
          <w:kern w:val="0"/>
          <w:lang w:eastAsia="pl-PL"/>
          <w14:ligatures w14:val="none"/>
        </w:rPr>
        <w:t>RACJONALIZACJA</w:t>
      </w:r>
      <w:r w:rsidRPr="007E08F7">
        <w:rPr>
          <w:rFonts w:eastAsia="Times New Roman" w:cs="Arial"/>
          <w:kern w:val="0"/>
          <w:lang w:eastAsia="pl-PL"/>
          <w14:ligatures w14:val="none"/>
        </w:rPr>
        <w:t>: kształtowanie regionalnej sieci transportowej województwa, zintegrowanej z transeuropejską siecią transportową i stanowiącej podstawę optymalizacji usług mobilności w skali regionalnej i lokalnej;</w:t>
      </w:r>
    </w:p>
    <w:p w14:paraId="06FB3553" w14:textId="77777777" w:rsidR="002B6024" w:rsidRPr="007E08F7" w:rsidRDefault="002B6024">
      <w:pPr>
        <w:numPr>
          <w:ilvl w:val="0"/>
          <w:numId w:val="6"/>
        </w:numPr>
        <w:tabs>
          <w:tab w:val="clear" w:pos="720"/>
          <w:tab w:val="num" w:pos="567"/>
        </w:tabs>
        <w:spacing w:before="120" w:after="120" w:line="288" w:lineRule="auto"/>
        <w:ind w:left="567" w:hanging="283"/>
        <w:rPr>
          <w:rFonts w:eastAsia="Times New Roman" w:cs="Arial"/>
          <w:kern w:val="0"/>
          <w:lang w:eastAsia="pl-PL"/>
          <w14:ligatures w14:val="none"/>
        </w:rPr>
      </w:pPr>
      <w:r w:rsidRPr="007E08F7">
        <w:rPr>
          <w:rFonts w:eastAsia="Times New Roman" w:cs="Arial"/>
          <w:b/>
          <w:bCs/>
          <w:kern w:val="0"/>
          <w:lang w:eastAsia="pl-PL"/>
          <w14:ligatures w14:val="none"/>
        </w:rPr>
        <w:t>INTEGRACJA</w:t>
      </w:r>
      <w:r w:rsidRPr="007E08F7">
        <w:rPr>
          <w:rFonts w:eastAsia="Times New Roman" w:cs="Arial"/>
          <w:kern w:val="0"/>
          <w:lang w:eastAsia="pl-PL"/>
          <w14:ligatures w14:val="none"/>
        </w:rPr>
        <w:t>: kształtowanie dostępności i spójności wewnętrznej regionu poprzez rozwój infrastruktury integrującej różne środki publicznego transportu zbiorowego oraz mobilności indywidualnej, w tym ruch pieszy, rowerowy i samochodowy;</w:t>
      </w:r>
    </w:p>
    <w:p w14:paraId="6E396872" w14:textId="77777777" w:rsidR="002B6024" w:rsidRPr="007E08F7" w:rsidRDefault="002B6024">
      <w:pPr>
        <w:numPr>
          <w:ilvl w:val="0"/>
          <w:numId w:val="6"/>
        </w:numPr>
        <w:tabs>
          <w:tab w:val="clear" w:pos="720"/>
          <w:tab w:val="num" w:pos="567"/>
        </w:tabs>
        <w:spacing w:before="120" w:after="120" w:line="288" w:lineRule="auto"/>
        <w:ind w:left="567" w:hanging="283"/>
        <w:rPr>
          <w:rFonts w:eastAsia="Times New Roman" w:cs="Arial"/>
          <w:kern w:val="0"/>
          <w:lang w:eastAsia="pl-PL"/>
          <w14:ligatures w14:val="none"/>
        </w:rPr>
      </w:pPr>
      <w:r w:rsidRPr="007E08F7">
        <w:rPr>
          <w:rFonts w:eastAsia="Times New Roman" w:cs="Arial"/>
          <w:b/>
          <w:bCs/>
          <w:kern w:val="0"/>
          <w:lang w:eastAsia="pl-PL"/>
          <w14:ligatures w14:val="none"/>
        </w:rPr>
        <w:t>PRZYSTOSOWANIE</w:t>
      </w:r>
      <w:r w:rsidRPr="007E08F7">
        <w:rPr>
          <w:rFonts w:eastAsia="Times New Roman" w:cs="Arial"/>
          <w:kern w:val="0"/>
          <w:lang w:eastAsia="pl-PL"/>
          <w14:ligatures w14:val="none"/>
        </w:rPr>
        <w:t>: wykorzystanie po ocenie zasadności technicznej, ekonomicznej i środowiskowej, potencjału nieeksploatowanych zasobów infrastruktury transportowej, a zwłaszcza kolejowej, do kształtowania oferty usług mobilności pasażerskiej i towarowej;</w:t>
      </w:r>
    </w:p>
    <w:p w14:paraId="2B68DF91" w14:textId="77777777" w:rsidR="002B6024" w:rsidRPr="007E08F7" w:rsidRDefault="002B6024">
      <w:pPr>
        <w:numPr>
          <w:ilvl w:val="0"/>
          <w:numId w:val="6"/>
        </w:numPr>
        <w:tabs>
          <w:tab w:val="clear" w:pos="720"/>
          <w:tab w:val="num" w:pos="567"/>
        </w:tabs>
        <w:spacing w:before="120" w:after="120" w:line="288" w:lineRule="auto"/>
        <w:ind w:left="567" w:hanging="283"/>
        <w:rPr>
          <w:rFonts w:eastAsia="Times New Roman" w:cs="Arial"/>
          <w:kern w:val="0"/>
          <w:lang w:eastAsia="pl-PL"/>
          <w14:ligatures w14:val="none"/>
        </w:rPr>
      </w:pPr>
      <w:r w:rsidRPr="007E08F7">
        <w:rPr>
          <w:rFonts w:eastAsia="Times New Roman" w:cs="Arial"/>
          <w:b/>
          <w:bCs/>
          <w:kern w:val="0"/>
          <w:lang w:eastAsia="pl-PL"/>
          <w14:ligatures w14:val="none"/>
        </w:rPr>
        <w:t>ODPORNOŚĆ</w:t>
      </w:r>
      <w:r w:rsidRPr="007E08F7">
        <w:rPr>
          <w:rFonts w:eastAsia="Times New Roman" w:cs="Arial"/>
          <w:kern w:val="0"/>
          <w:lang w:eastAsia="pl-PL"/>
          <w14:ligatures w14:val="none"/>
        </w:rPr>
        <w:t>: kształtowanie warunków funkcjonowania infrastruktury w sposób zapewniający wysoką sprawność i ciągłość działania w warunkach ekstremalnych zjawisk pogodowych oraz zagrożeń militarnych i cywilnych.</w:t>
      </w:r>
    </w:p>
    <w:p w14:paraId="3A3E21E1" w14:textId="1F9A31FC" w:rsidR="002B6024" w:rsidRPr="007E08F7" w:rsidRDefault="002B6024" w:rsidP="002B6024">
      <w:pPr>
        <w:spacing w:before="120" w:after="120" w:line="288" w:lineRule="auto"/>
      </w:pPr>
      <w:r w:rsidRPr="007E08F7">
        <w:rPr>
          <w:rFonts w:eastAsia="Aptos"/>
        </w:rPr>
        <w:t>Zarząd województwa zgodnie z art. 10 f ustawy o samorządzie gminnym opiniuje strategie rozwoju gminy oraz strategie rozwoju ponadlokalnego dotyczącą sposobu uwzględnienia ustaleń i rekomendacji w zakresie kształtowania i prowadzenia polityki przestrzennej określonej w strategii rozwoju województwa. Z uwagi na ogólne brzmienie ustaleń i rekomendacji w strategii rozwoju województwa i ich rozwinięcie w planie zagospodarowania przestrzennego województwa, przy formułowaniu opinii uwzględnia się ustalenia i rekomendacje PZPWP.</w:t>
      </w:r>
      <w:r w:rsidR="004D6982" w:rsidRPr="007E08F7">
        <w:rPr>
          <w:color w:val="EE0000"/>
        </w:rPr>
        <w:br w:type="page"/>
      </w:r>
    </w:p>
    <w:p w14:paraId="55DA5DD2" w14:textId="7BA62984" w:rsidR="002B6024" w:rsidRPr="007E08F7" w:rsidRDefault="005E7953" w:rsidP="00B64E0B">
      <w:pPr>
        <w:pStyle w:val="Nagwek1"/>
      </w:pPr>
      <w:bookmarkStart w:id="82" w:name="_Toc239772105"/>
      <w:r w:rsidRPr="007E08F7">
        <w:lastRenderedPageBreak/>
        <w:t>Strategiczne inwestycje krajowe kluczowe</w:t>
      </w:r>
      <w:r w:rsidR="00B32A7D" w:rsidRPr="007E08F7">
        <w:t> </w:t>
      </w:r>
      <w:r w:rsidRPr="007E08F7">
        <w:t>dla</w:t>
      </w:r>
      <w:r w:rsidR="00B32A7D" w:rsidRPr="007E08F7">
        <w:t> </w:t>
      </w:r>
      <w:r w:rsidR="005E6854" w:rsidRPr="007E08F7">
        <w:t>w</w:t>
      </w:r>
      <w:r w:rsidRPr="007E08F7">
        <w:t>ojewództwa pomorskiego w</w:t>
      </w:r>
      <w:r w:rsidR="00B32A7D" w:rsidRPr="007E08F7">
        <w:t> </w:t>
      </w:r>
      <w:r w:rsidRPr="007E08F7">
        <w:t>perspektywie roku 2035</w:t>
      </w:r>
      <w:bookmarkEnd w:id="82"/>
      <w:r w:rsidRPr="007E08F7">
        <w:t xml:space="preserve"> </w:t>
      </w:r>
    </w:p>
    <w:p w14:paraId="354E2DDC" w14:textId="25F34010"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W perspektywie roku 2035 na obszarze województwa – z poziomu krajowego – dojdzie do realizacji kluczowych przedsięwzięć rozwojowych lub rozpocznie się ich realizacja. Wpłyną one istotnie na kierunki rozwoju społeczno-gospodarczego, powiązania funkcjonalno-przestrzenne oraz zmiany w zagospodarowaniu przestrzennym Pomorza. Inwestycje te wymagają koordynacji w zakresie komplementarności działań rozwojowych uruchamianych i prowadzonych na</w:t>
      </w:r>
      <w:r w:rsidR="00B32A7D" w:rsidRPr="007E08F7">
        <w:rPr>
          <w:rFonts w:eastAsia="Aptos"/>
        </w:rPr>
        <w:t> </w:t>
      </w:r>
      <w:r w:rsidRPr="007E08F7">
        <w:rPr>
          <w:rFonts w:eastAsia="Aptos"/>
        </w:rPr>
        <w:t>poziomie regionalnym oraz ich spójności w zakresie polityk przestrzennych prowadzonych przez państwo, region i samorządy lokalne.</w:t>
      </w:r>
    </w:p>
    <w:p w14:paraId="13423255" w14:textId="09C15A3D"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 xml:space="preserve">W zakresie infrastruktury transportowej, szczególnie w aspekcie dostępności drogowej portów morskich do sieci TEN-T (bazowej i kompleksowej), kluczowe znaczenie będzie miała budowa Drogi Czerwonej w Gdyni (od węzła </w:t>
      </w:r>
      <w:r w:rsidRPr="007E08F7">
        <w:rPr>
          <w:rFonts w:eastAsia="Aptos"/>
          <w:shd w:val="clear" w:color="auto" w:fill="FFFFFF"/>
        </w:rPr>
        <w:t xml:space="preserve">Terminal Promowy </w:t>
      </w:r>
      <w:r w:rsidR="00C577C9" w:rsidRPr="007E08F7">
        <w:rPr>
          <w:rFonts w:eastAsia="Aptos"/>
          <w:shd w:val="clear" w:color="auto" w:fill="FFFFFF"/>
        </w:rPr>
        <w:t>–</w:t>
      </w:r>
      <w:r w:rsidRPr="007E08F7">
        <w:rPr>
          <w:rFonts w:eastAsia="Aptos"/>
          <w:shd w:val="clear" w:color="auto" w:fill="FFFFFF"/>
        </w:rPr>
        <w:t xml:space="preserve"> węzeł Ofiar Grudnia ’70 </w:t>
      </w:r>
      <w:r w:rsidR="00C577C9" w:rsidRPr="007E08F7">
        <w:rPr>
          <w:rFonts w:eastAsia="Aptos"/>
          <w:shd w:val="clear" w:color="auto" w:fill="FFFFFF"/>
        </w:rPr>
        <w:t>–</w:t>
      </w:r>
      <w:r w:rsidRPr="007E08F7">
        <w:rPr>
          <w:rFonts w:eastAsia="Aptos"/>
          <w:shd w:val="clear" w:color="auto" w:fill="FFFFFF"/>
        </w:rPr>
        <w:t xml:space="preserve"> węzeł Kwiatkowskiego II – węzeł Gdynia Północ </w:t>
      </w:r>
      <w:r w:rsidR="00C577C9" w:rsidRPr="007E08F7">
        <w:rPr>
          <w:rFonts w:eastAsia="Aptos"/>
          <w:shd w:val="clear" w:color="auto" w:fill="FFFFFF"/>
        </w:rPr>
        <w:t>–</w:t>
      </w:r>
      <w:r w:rsidRPr="007E08F7">
        <w:rPr>
          <w:rFonts w:eastAsia="Aptos"/>
          <w:shd w:val="clear" w:color="auto" w:fill="FFFFFF"/>
        </w:rPr>
        <w:t xml:space="preserve"> </w:t>
      </w:r>
      <w:r w:rsidRPr="007E08F7">
        <w:rPr>
          <w:rFonts w:eastAsia="Lato,Lato,Lato,Lato,Garamond" w:cs="Lato,Lato,Lato,Lato,Garamond"/>
        </w:rPr>
        <w:t xml:space="preserve">droga nr 468 </w:t>
      </w:r>
      <w:r w:rsidRPr="007E08F7">
        <w:rPr>
          <w:rFonts w:eastAsia="Aptos"/>
          <w:shd w:val="clear" w:color="auto" w:fill="FFFFFF"/>
        </w:rPr>
        <w:t>węzeł Gdynia Chylonia). Połączenie to umożliwi segregację ruchu prowadzącego z i do Portu w Gdyni jak również usprawni niezakłócone funkcjonowanie samego portu.</w:t>
      </w:r>
    </w:p>
    <w:p w14:paraId="6D919F73" w14:textId="5269FC51"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 xml:space="preserve">Działaniem kluczowym jest także budowa powiązanego z Drogą Czerwoną nowego połączenia drogowego tzw. trasy Via </w:t>
      </w:r>
      <w:proofErr w:type="spellStart"/>
      <w:r w:rsidRPr="007E08F7">
        <w:rPr>
          <w:rFonts w:eastAsia="Aptos"/>
        </w:rPr>
        <w:t>Maris</w:t>
      </w:r>
      <w:proofErr w:type="spellEnd"/>
      <w:r w:rsidRPr="007E08F7">
        <w:rPr>
          <w:rFonts w:eastAsia="Aptos"/>
        </w:rPr>
        <w:t xml:space="preserve"> prowadzącej do Władysławowa. R</w:t>
      </w:r>
      <w:r w:rsidRPr="007E08F7">
        <w:rPr>
          <w:rFonts w:eastAsia="Times New Roman" w:cs="Aptos"/>
          <w:kern w:val="0"/>
          <w:lang w:eastAsia="pl-PL"/>
          <w14:ligatures w14:val="none"/>
        </w:rPr>
        <w:t>ealizacja przedsięwzięcia w kategorii dróg krajowych będzie miała wpływ na</w:t>
      </w:r>
      <w:r w:rsidR="00B32A7D" w:rsidRPr="007E08F7">
        <w:rPr>
          <w:rFonts w:eastAsia="Times New Roman" w:cs="Aptos"/>
          <w:kern w:val="0"/>
          <w:lang w:eastAsia="pl-PL"/>
          <w14:ligatures w14:val="none"/>
        </w:rPr>
        <w:t> </w:t>
      </w:r>
      <w:r w:rsidRPr="007E08F7">
        <w:rPr>
          <w:rFonts w:eastAsia="Times New Roman" w:cs="Aptos"/>
          <w:kern w:val="0"/>
          <w:lang w:eastAsia="pl-PL"/>
          <w14:ligatures w14:val="none"/>
        </w:rPr>
        <w:t xml:space="preserve">sytuację drogową nie tylko w Gdyni, </w:t>
      </w:r>
      <w:proofErr w:type="spellStart"/>
      <w:r w:rsidRPr="007E08F7">
        <w:rPr>
          <w:rFonts w:eastAsia="Times New Roman" w:cs="Aptos"/>
          <w:kern w:val="0"/>
          <w:lang w:eastAsia="pl-PL"/>
          <w14:ligatures w14:val="none"/>
        </w:rPr>
        <w:t>Rumi</w:t>
      </w:r>
      <w:proofErr w:type="spellEnd"/>
      <w:r w:rsidRPr="007E08F7">
        <w:rPr>
          <w:rFonts w:eastAsia="Times New Roman" w:cs="Aptos"/>
          <w:kern w:val="0"/>
          <w:lang w:eastAsia="pl-PL"/>
          <w14:ligatures w14:val="none"/>
        </w:rPr>
        <w:t xml:space="preserve">, Redzie, ale także na terenie powiatu puckiego, w tym w szczególności we Władysławowie. Na skutek przeniesienia potoków ruchu z dróg niższych klas na nową drogę Via </w:t>
      </w:r>
      <w:proofErr w:type="spellStart"/>
      <w:r w:rsidRPr="007E08F7">
        <w:rPr>
          <w:rFonts w:eastAsia="Times New Roman" w:cs="Aptos"/>
          <w:kern w:val="0"/>
          <w:lang w:eastAsia="pl-PL"/>
          <w14:ligatures w14:val="none"/>
        </w:rPr>
        <w:t>Maris</w:t>
      </w:r>
      <w:proofErr w:type="spellEnd"/>
      <w:r w:rsidRPr="007E08F7">
        <w:rPr>
          <w:rFonts w:eastAsia="Times New Roman" w:cs="Aptos"/>
          <w:kern w:val="0"/>
          <w:lang w:eastAsia="pl-PL"/>
          <w14:ligatures w14:val="none"/>
        </w:rPr>
        <w:t xml:space="preserve">, wzrośnie sprawność istniejącego układu drogowego, a ruch tranzytowy, zwłaszcza turystyczny zostanie wyprowadzony poza centrum </w:t>
      </w:r>
      <w:proofErr w:type="spellStart"/>
      <w:r w:rsidRPr="007E08F7">
        <w:rPr>
          <w:rFonts w:eastAsia="Times New Roman" w:cs="Aptos"/>
          <w:kern w:val="0"/>
          <w:lang w:eastAsia="pl-PL"/>
          <w14:ligatures w14:val="none"/>
        </w:rPr>
        <w:t>Rumi</w:t>
      </w:r>
      <w:proofErr w:type="spellEnd"/>
      <w:r w:rsidRPr="007E08F7">
        <w:rPr>
          <w:rFonts w:eastAsia="Times New Roman" w:cs="Aptos"/>
          <w:kern w:val="0"/>
          <w:lang w:eastAsia="pl-PL"/>
          <w14:ligatures w14:val="none"/>
        </w:rPr>
        <w:t xml:space="preserve"> i Redy, co zdecydowanie podniesie bezpieczeństwo ruchu drogowego i uciążliwość ruchu dla mieszkańców tych miast. Inwestycja będzie miała kluczowe znaczenia dla uruchomienia terenów inwestycyjnych położonych w granicach administracyjnych Portu Gdynia, które wpisują się w koncepcję tzw. Doliny Logistycznej, a także w przedsięwzięcie KGHM Polska Miedź S.A. związane z potencjalną budową kopalni polihalitu w okolicach Mieroszyna (gm. Puck).</w:t>
      </w:r>
    </w:p>
    <w:p w14:paraId="069EDDF1" w14:textId="45EB71AC"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 xml:space="preserve">Istotne znaczenie dla poprawy dostępności zewnętrznej zachodniej i południowo-zachodniej części województwa będzie miała dalsza realizacja drogi ekspresowej S11 (Piła-Koszalin), która choć przebiega poza obszarem województwa </w:t>
      </w:r>
      <w:r w:rsidRPr="007E08F7">
        <w:rPr>
          <w:rFonts w:eastAsia="Aptos"/>
        </w:rPr>
        <w:lastRenderedPageBreak/>
        <w:t>pomorskiego, to od strony zachodniej dopełni system transportowy regionu. W tym zakresie ważne jest także uwzględnienie w Programie Budowy Dróg Krajowych i</w:t>
      </w:r>
      <w:r w:rsidR="00310B6F" w:rsidRPr="007E08F7">
        <w:rPr>
          <w:rFonts w:eastAsia="Aptos"/>
        </w:rPr>
        <w:t> </w:t>
      </w:r>
      <w:r w:rsidRPr="007E08F7">
        <w:rPr>
          <w:rFonts w:eastAsia="Aptos"/>
        </w:rPr>
        <w:t>Autostrad na kolejne lata działań w zakresie przebudowy drogi krajowej nr 20 na</w:t>
      </w:r>
      <w:r w:rsidR="00B32A7D" w:rsidRPr="007E08F7">
        <w:rPr>
          <w:rFonts w:eastAsia="Aptos"/>
        </w:rPr>
        <w:t> </w:t>
      </w:r>
      <w:r w:rsidRPr="007E08F7">
        <w:rPr>
          <w:rFonts w:eastAsia="Aptos"/>
        </w:rPr>
        <w:t>odcinku Korne – Bytów – Miastko oraz podjęcie działań w zakresie uzupełnienia luki w sieci dróg krajowych na terenie województwa pomorskiego o kierunku południkowym tzw. Via Pomeranii. Droga ta pozwoliłaby sprawnie połączyć port w</w:t>
      </w:r>
      <w:r w:rsidR="00B32A7D" w:rsidRPr="007E08F7">
        <w:rPr>
          <w:rFonts w:eastAsia="Aptos"/>
        </w:rPr>
        <w:t> </w:t>
      </w:r>
      <w:r w:rsidRPr="007E08F7">
        <w:rPr>
          <w:rFonts w:eastAsia="Aptos"/>
        </w:rPr>
        <w:t>Ustce przez Słupsk oraz ośrodki miejskie w środkowej i środkowo-zachodniej części województwa z Bydgoszczą, przyczyniając się do przełamania peryferyjności obszaru i poprawy jego spójności społeczno-gospodarczej i przestrzennej.</w:t>
      </w:r>
    </w:p>
    <w:p w14:paraId="17B50E0A" w14:textId="60732E27"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Ważnymi inwestycjami usprawniającymi warunki obsługi transportowej regionu, a</w:t>
      </w:r>
      <w:r w:rsidR="00310B6F" w:rsidRPr="007E08F7">
        <w:rPr>
          <w:rFonts w:eastAsia="Aptos"/>
        </w:rPr>
        <w:t> </w:t>
      </w:r>
      <w:r w:rsidRPr="007E08F7">
        <w:rPr>
          <w:rFonts w:eastAsia="Aptos"/>
        </w:rPr>
        <w:t>także warunki i jakość życia w miastach będą obwodnice miast i miejscowości w</w:t>
      </w:r>
      <w:r w:rsidR="00310B6F" w:rsidRPr="007E08F7">
        <w:rPr>
          <w:rFonts w:eastAsia="Aptos"/>
        </w:rPr>
        <w:t> </w:t>
      </w:r>
      <w:r w:rsidRPr="007E08F7">
        <w:rPr>
          <w:rFonts w:eastAsia="Aptos"/>
        </w:rPr>
        <w:t>ciągu dróg krajowych. Należą do nich w szczególności budowa obwodnicy Starogardu Gdańskiego i Człuchowa w ciągu drogi krajowej nr 22, Sztumu w ciągu drogi krajowej nr 55, Człuchowa w ciągu drogi krajowej nr 25 oraz Słupska w ciągu drogi krajowej nr 21 omijającej miasto od strony wschodniej. Wyprowadzenie ruchu tranzytowego poza zwarte obszary miast wymagać będzie także dopasowania sieci dróg wewnątrz miast i obszarach je otaczających do nowych uwarunkowań i</w:t>
      </w:r>
      <w:r w:rsidR="00310B6F" w:rsidRPr="007E08F7">
        <w:rPr>
          <w:rFonts w:eastAsia="Aptos"/>
        </w:rPr>
        <w:t> </w:t>
      </w:r>
      <w:proofErr w:type="spellStart"/>
      <w:r w:rsidRPr="007E08F7">
        <w:rPr>
          <w:rFonts w:eastAsia="Aptos"/>
        </w:rPr>
        <w:t>rekategoryzacji</w:t>
      </w:r>
      <w:proofErr w:type="spellEnd"/>
      <w:r w:rsidRPr="007E08F7">
        <w:rPr>
          <w:rFonts w:eastAsia="Aptos"/>
        </w:rPr>
        <w:t xml:space="preserve"> wg ich rzeczywistego znaczenia w sieci dróg publicznych, w tym przejmowania niektórych z dotychczasowych odcinków dróg krajowych przez samorząd województwa, ale również samorządy powiatowe lub gminne.</w:t>
      </w:r>
    </w:p>
    <w:p w14:paraId="17E864E9" w14:textId="34364BDF"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Obok spodziewanych inwestycji drogowych kluczowe zmiany wiązać się będą z już trwającymi inwestycjami wieloletnimi na sieci kolejowej, w tym w szczególności z</w:t>
      </w:r>
      <w:r w:rsidR="00310B6F" w:rsidRPr="007E08F7">
        <w:rPr>
          <w:rFonts w:eastAsia="Aptos"/>
        </w:rPr>
        <w:t> </w:t>
      </w:r>
      <w:r w:rsidRPr="007E08F7">
        <w:rPr>
          <w:rFonts w:eastAsia="Aptos"/>
        </w:rPr>
        <w:t xml:space="preserve">budowaną dwutorową i zelektryfikowaną linią kolejową nr 201 (Gdynia Port </w:t>
      </w:r>
      <w:r w:rsidR="00C577C9" w:rsidRPr="007E08F7">
        <w:rPr>
          <w:rFonts w:eastAsia="Aptos"/>
        </w:rPr>
        <w:t>–</w:t>
      </w:r>
      <w:r w:rsidRPr="007E08F7">
        <w:rPr>
          <w:rFonts w:eastAsia="Aptos"/>
        </w:rPr>
        <w:t>Kościerzyna – Bydgoszcz Główna) oraz nr 202 (Gdańsk Główny – Słupsk</w:t>
      </w:r>
      <w:r w:rsidR="00310B6F" w:rsidRPr="007E08F7">
        <w:rPr>
          <w:rFonts w:eastAsia="Aptos"/>
        </w:rPr>
        <w:t xml:space="preserve"> –</w:t>
      </w:r>
      <w:r w:rsidRPr="007E08F7">
        <w:rPr>
          <w:rFonts w:eastAsia="Aptos"/>
        </w:rPr>
        <w:t xml:space="preserve"> Stargard)</w:t>
      </w:r>
      <w:r w:rsidR="0038200A" w:rsidRPr="007E08F7">
        <w:rPr>
          <w:rFonts w:eastAsia="Aptos"/>
        </w:rPr>
        <w:t>, jak również rozbudową linii kolejowej nr 9, poprawiającą przepustowość na odcinku Gdańsk – Tczew.</w:t>
      </w:r>
      <w:r w:rsidRPr="007E08F7">
        <w:rPr>
          <w:rFonts w:eastAsia="Aptos"/>
        </w:rPr>
        <w:t xml:space="preserve"> Ważnym wyzwaniem będzie także podjęcie działań inwestycyjnych na linii kolejowej nr 203 na odcinku Tczew – Czersk – Chojnice. Wpisują się one w</w:t>
      </w:r>
      <w:r w:rsidR="00310B6F" w:rsidRPr="007E08F7">
        <w:rPr>
          <w:rFonts w:eastAsia="Aptos"/>
        </w:rPr>
        <w:t> </w:t>
      </w:r>
      <w:r w:rsidRPr="007E08F7">
        <w:rPr>
          <w:rFonts w:eastAsia="Aptos"/>
        </w:rPr>
        <w:t xml:space="preserve">tzw. Zintegrowaną Sieć Kolejową – długofalową politykę państwa w zakresie ukształtowania </w:t>
      </w:r>
      <w:r w:rsidRPr="007E08F7">
        <w:rPr>
          <w:rFonts w:eastAsia="Aptos"/>
          <w:color w:val="000000"/>
          <w:shd w:val="clear" w:color="auto" w:fill="FFFFFF"/>
        </w:rPr>
        <w:t>docelowej struktury przestrzennej sieci kolejowej w Polsce. Jej</w:t>
      </w:r>
      <w:r w:rsidR="00310B6F" w:rsidRPr="007E08F7">
        <w:rPr>
          <w:rFonts w:eastAsia="Aptos"/>
          <w:color w:val="000000"/>
          <w:shd w:val="clear" w:color="auto" w:fill="FFFFFF"/>
        </w:rPr>
        <w:t> </w:t>
      </w:r>
      <w:r w:rsidRPr="007E08F7">
        <w:rPr>
          <w:rFonts w:eastAsia="Aptos"/>
          <w:color w:val="000000"/>
          <w:shd w:val="clear" w:color="auto" w:fill="FFFFFF"/>
        </w:rPr>
        <w:t>ważnymi regionalnymi uzupełnieniami będą inwestycje PKP PLK planowane do</w:t>
      </w:r>
      <w:r w:rsidR="00310B6F" w:rsidRPr="007E08F7">
        <w:rPr>
          <w:rFonts w:eastAsia="Aptos"/>
          <w:color w:val="000000"/>
          <w:shd w:val="clear" w:color="auto" w:fill="FFFFFF"/>
        </w:rPr>
        <w:t> </w:t>
      </w:r>
      <w:r w:rsidRPr="007E08F7">
        <w:rPr>
          <w:rFonts w:eastAsia="Aptos"/>
          <w:color w:val="000000"/>
          <w:shd w:val="clear" w:color="auto" w:fill="FFFFFF"/>
        </w:rPr>
        <w:t xml:space="preserve">realizacji na liniach kolejowych nr 212 Lipusz – Bytów – Korzybie, nr 229 Kartuzy – Sierakowice – Lębork </w:t>
      </w:r>
      <w:r w:rsidR="00C577C9" w:rsidRPr="007E08F7">
        <w:rPr>
          <w:rFonts w:eastAsia="Aptos"/>
          <w:color w:val="000000"/>
          <w:shd w:val="clear" w:color="auto" w:fill="FFFFFF"/>
        </w:rPr>
        <w:t>–</w:t>
      </w:r>
      <w:r w:rsidRPr="007E08F7">
        <w:rPr>
          <w:rFonts w:eastAsia="Aptos"/>
          <w:color w:val="000000"/>
          <w:shd w:val="clear" w:color="auto" w:fill="FFFFFF"/>
        </w:rPr>
        <w:t xml:space="preserve"> Łeba, nr 230 Wejherowo – Choczewo – Elektrownia Jądrowa. Realizacja tych inwestycji oznaczać będzie nie tylko przywrócenie parametrów technicznych nieczynnych linii kolejowych, ale przede wszystkim możliwość organizacji pasażerskich przewozów kolejowych w wielu obszarach, które zaliczane są do wykluczonych komunikacyjnie. Ważnym elementem modernizacji sieci kolejowej będzie także poprawa parametrów i elektryfikacja linii kolejowej nr 213 Reda – Władysławowo – Hel, która wymagać będzie także dostosowania do możliwości organizacji przewozów towarowych w związku z planowaną budową </w:t>
      </w:r>
      <w:r w:rsidRPr="007E08F7">
        <w:rPr>
          <w:rFonts w:eastAsia="Aptos"/>
          <w:color w:val="000000"/>
          <w:shd w:val="clear" w:color="auto" w:fill="FFFFFF"/>
        </w:rPr>
        <w:lastRenderedPageBreak/>
        <w:t xml:space="preserve">przez KGHM Polska Miedź S.A. kopalni polihalitu w </w:t>
      </w:r>
      <w:r w:rsidRPr="007E08F7">
        <w:rPr>
          <w:rFonts w:eastAsia="Times New Roman" w:cs="Aptos"/>
          <w:kern w:val="0"/>
          <w:lang w:eastAsia="pl-PL"/>
          <w14:ligatures w14:val="none"/>
        </w:rPr>
        <w:t>okolicach Mieroszyna (gm.</w:t>
      </w:r>
      <w:r w:rsidR="00310B6F" w:rsidRPr="007E08F7">
        <w:rPr>
          <w:rFonts w:eastAsia="Times New Roman" w:cs="Aptos"/>
          <w:kern w:val="0"/>
          <w:lang w:eastAsia="pl-PL"/>
          <w14:ligatures w14:val="none"/>
        </w:rPr>
        <w:t> </w:t>
      </w:r>
      <w:r w:rsidRPr="007E08F7">
        <w:rPr>
          <w:rFonts w:eastAsia="Times New Roman" w:cs="Aptos"/>
          <w:kern w:val="0"/>
          <w:lang w:eastAsia="pl-PL"/>
          <w14:ligatures w14:val="none"/>
        </w:rPr>
        <w:t>Puck).</w:t>
      </w:r>
    </w:p>
    <w:p w14:paraId="4973F8DD" w14:textId="3919329F"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Realizacja powyższych inwestycji drogowych i kolejowych, uwzględniając już wcześniej zrealizowane przedsięwzięcia rozwojowe, przyczyni się do ukształtowania właściwej struktury funkcjonalno-przestrzennej województwa. Ich realizacja w</w:t>
      </w:r>
      <w:r w:rsidR="00310B6F" w:rsidRPr="007E08F7">
        <w:rPr>
          <w:rFonts w:eastAsia="Aptos"/>
        </w:rPr>
        <w:t> </w:t>
      </w:r>
      <w:r w:rsidRPr="007E08F7">
        <w:rPr>
          <w:rFonts w:eastAsia="Aptos"/>
        </w:rPr>
        <w:t>sposób bezpośredni zmieni uwarunkowania rozwojowe całego województwa. Wymagać to będzie szczególnych działań koordynacyjnych w zakresie przedsięwzięć komplementarnych, w tym dotyczących dróg dojazdowych do</w:t>
      </w:r>
      <w:r w:rsidR="00B32A7D" w:rsidRPr="007E08F7">
        <w:rPr>
          <w:rFonts w:eastAsia="Aptos"/>
        </w:rPr>
        <w:t> </w:t>
      </w:r>
      <w:r w:rsidRPr="007E08F7">
        <w:rPr>
          <w:rFonts w:eastAsia="Aptos"/>
        </w:rPr>
        <w:t>węzłów drogowych i węzłów przesiadkowych.</w:t>
      </w:r>
    </w:p>
    <w:p w14:paraId="011F154C" w14:textId="47DB2FFB"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Rozbudowa infrastruktury portowej na głębokowodnych terenach położonych w</w:t>
      </w:r>
      <w:r w:rsidR="00310B6F" w:rsidRPr="007E08F7">
        <w:rPr>
          <w:rFonts w:eastAsia="Aptos"/>
        </w:rPr>
        <w:t> </w:t>
      </w:r>
      <w:r w:rsidRPr="007E08F7">
        <w:rPr>
          <w:rFonts w:eastAsia="Aptos"/>
        </w:rPr>
        <w:t>granicach administracyjnych portu Gdańsk i budowa Portu Zewnętrznego w Gdyni i ich zaplecza logistycznego tworzyć będzie dalszą podstawę do rozwoju regularnej sieci powiązań oceanicznych z portami Dalekiego Wschodu (m.in. Chin, Korei). W</w:t>
      </w:r>
      <w:r w:rsidR="00310B6F" w:rsidRPr="007E08F7">
        <w:rPr>
          <w:rFonts w:eastAsia="Aptos"/>
        </w:rPr>
        <w:t> </w:t>
      </w:r>
      <w:r w:rsidRPr="007E08F7">
        <w:rPr>
          <w:rFonts w:eastAsia="Aptos"/>
        </w:rPr>
        <w:t>tym zakresie pojawiają się także nowe możliwości włączenia portów Trójmiasta w</w:t>
      </w:r>
      <w:r w:rsidR="00310B6F" w:rsidRPr="007E08F7">
        <w:rPr>
          <w:rFonts w:eastAsia="Aptos"/>
        </w:rPr>
        <w:t> </w:t>
      </w:r>
      <w:r w:rsidRPr="007E08F7">
        <w:rPr>
          <w:rFonts w:eastAsia="Aptos"/>
        </w:rPr>
        <w:t>system regularnych połączeń z Dalekim Wschodem przez Arktykę</w:t>
      </w:r>
      <w:r w:rsidRPr="007E08F7">
        <w:rPr>
          <w:rFonts w:eastAsia="Aptos" w:cs="Arial"/>
        </w:rPr>
        <w:t xml:space="preserve"> (Północną Drogą Morską) skracającą czas transportu z Azji do Europy z 40</w:t>
      </w:r>
      <w:r w:rsidR="00C577C9" w:rsidRPr="007E08F7">
        <w:rPr>
          <w:rFonts w:eastAsia="Aptos" w:cs="Arial"/>
        </w:rPr>
        <w:t>-</w:t>
      </w:r>
      <w:r w:rsidRPr="007E08F7">
        <w:rPr>
          <w:rFonts w:eastAsia="Aptos" w:cs="Arial"/>
        </w:rPr>
        <w:t>50 do 20</w:t>
      </w:r>
      <w:r w:rsidR="00C577C9" w:rsidRPr="007E08F7">
        <w:rPr>
          <w:rFonts w:eastAsia="Aptos" w:cs="Arial"/>
        </w:rPr>
        <w:t>-</w:t>
      </w:r>
      <w:r w:rsidRPr="007E08F7">
        <w:rPr>
          <w:rFonts w:eastAsia="Aptos" w:cs="Arial"/>
        </w:rPr>
        <w:t>25 dni</w:t>
      </w:r>
      <w:r w:rsidRPr="007E08F7">
        <w:rPr>
          <w:rFonts w:eastAsia="Aptos"/>
        </w:rPr>
        <w:t xml:space="preserve">. Głównymi punktami tego szlaku są chińskie i koreańskie porty wyjścia oraz europejskie i bałtyckie terminale docelowe, w tym </w:t>
      </w:r>
      <w:r w:rsidRPr="007E08F7">
        <w:rPr>
          <w:rFonts w:eastAsia="Aptos" w:cs="Arial"/>
        </w:rPr>
        <w:t>Port Gdańsk</w:t>
      </w:r>
      <w:r w:rsidRPr="007E08F7">
        <w:rPr>
          <w:rFonts w:eastAsia="Aptos"/>
        </w:rPr>
        <w:t xml:space="preserve"> i Port Gdynia.</w:t>
      </w:r>
    </w:p>
    <w:p w14:paraId="2080C460" w14:textId="247290A8"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 xml:space="preserve">Planowany do budowy Port Zewnętrzny w Gdyni </w:t>
      </w:r>
      <w:r w:rsidRPr="007E08F7">
        <w:rPr>
          <w:rFonts w:eastAsia="Times New Roman" w:cs="Times New Roman"/>
          <w:kern w:val="0"/>
          <w:lang w:eastAsia="pl-PL"/>
          <w14:ligatures w14:val="none"/>
        </w:rPr>
        <w:t>obejmuje budowę nowego pirsu portowego, na którym zostanie zlokalizowany terminal kontenerowy o rocznej zdolności przeładunkowej co najmniej 2,5 mln TEU. Pogłębione nowe akweny Portu Gdynia przy Nabrzeżach Portu Zewnętrznego uzyskają głębokość 17 m., tym samym w perspektywie najbliższych 10 lat oba porty regionu o podstawowym znaczeniu dla gospodarki będą miały zdolności do obsługi kontenerowców o długości ponad 400</w:t>
      </w:r>
      <w:r w:rsidR="00B32A7D" w:rsidRPr="007E08F7">
        <w:rPr>
          <w:rFonts w:eastAsia="Times New Roman" w:cs="Times New Roman"/>
          <w:kern w:val="0"/>
          <w:lang w:eastAsia="pl-PL"/>
          <w14:ligatures w14:val="none"/>
        </w:rPr>
        <w:t> </w:t>
      </w:r>
      <w:r w:rsidRPr="007E08F7">
        <w:rPr>
          <w:rFonts w:eastAsia="Times New Roman" w:cs="Times New Roman"/>
          <w:kern w:val="0"/>
          <w:lang w:eastAsia="pl-PL"/>
          <w14:ligatures w14:val="none"/>
        </w:rPr>
        <w:t xml:space="preserve">m. i zanurzeniu do 16 m, a więc największych jednostek pływających mogących wpłynąć na Morze Bałtyckie. Budowa Portu Zewnętrznego w powiązaniu z budową Via </w:t>
      </w:r>
      <w:proofErr w:type="spellStart"/>
      <w:r w:rsidRPr="007E08F7">
        <w:rPr>
          <w:rFonts w:eastAsia="Times New Roman" w:cs="Times New Roman"/>
          <w:kern w:val="0"/>
          <w:lang w:eastAsia="pl-PL"/>
          <w14:ligatures w14:val="none"/>
        </w:rPr>
        <w:t>Maris</w:t>
      </w:r>
      <w:proofErr w:type="spellEnd"/>
      <w:r w:rsidRPr="007E08F7">
        <w:rPr>
          <w:rFonts w:eastAsia="Times New Roman" w:cs="Times New Roman"/>
          <w:kern w:val="0"/>
          <w:lang w:eastAsia="pl-PL"/>
          <w14:ligatures w14:val="none"/>
        </w:rPr>
        <w:t xml:space="preserve"> będzie kluczowym czynnikiem uruchamiającym możliwości rozwoju </w:t>
      </w:r>
      <w:r w:rsidRPr="007E08F7">
        <w:rPr>
          <w:rFonts w:eastAsia="Aptos"/>
        </w:rPr>
        <w:t>funkcji logistycznych na obszarze tzw. „Doliny Logistycznej”</w:t>
      </w:r>
      <w:r w:rsidRPr="007E08F7">
        <w:rPr>
          <w:rFonts w:eastAsia="Times New Roman" w:cs="Times New Roman"/>
          <w:kern w:val="0"/>
          <w:lang w:eastAsia="pl-PL"/>
          <w14:ligatures w14:val="none"/>
        </w:rPr>
        <w:t>.</w:t>
      </w:r>
    </w:p>
    <w:p w14:paraId="06FA6076" w14:textId="508A3EA9"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Wzrostowi strumieni kontenerów obsługiwanych w portach Gdańska i Gdyni powinno sprzyjać uruchomienie suchego portu w Tczewie, a dalszy wzrost przeładunków i stopień ich konteneryzacji daje podstawy do myślenia o</w:t>
      </w:r>
      <w:r w:rsidR="00310B6F" w:rsidRPr="007E08F7">
        <w:rPr>
          <w:rFonts w:eastAsia="Aptos"/>
        </w:rPr>
        <w:t> </w:t>
      </w:r>
      <w:r w:rsidRPr="007E08F7">
        <w:rPr>
          <w:rFonts w:eastAsia="Aptos"/>
        </w:rPr>
        <w:t>poszukiwaniu nowych lokalizacji, np. w Kościerzynie na terenach kolejowych i</w:t>
      </w:r>
      <w:r w:rsidR="00310B6F" w:rsidRPr="007E08F7">
        <w:rPr>
          <w:rFonts w:eastAsia="Aptos"/>
        </w:rPr>
        <w:t> </w:t>
      </w:r>
      <w:r w:rsidRPr="007E08F7">
        <w:rPr>
          <w:rFonts w:eastAsia="Aptos"/>
        </w:rPr>
        <w:t>w</w:t>
      </w:r>
      <w:r w:rsidR="00310B6F" w:rsidRPr="007E08F7">
        <w:rPr>
          <w:rFonts w:eastAsia="Aptos"/>
        </w:rPr>
        <w:t> </w:t>
      </w:r>
      <w:r w:rsidRPr="007E08F7">
        <w:rPr>
          <w:rFonts w:eastAsia="Aptos"/>
        </w:rPr>
        <w:t>ich bezpośrednim otoczeniu.</w:t>
      </w:r>
    </w:p>
    <w:p w14:paraId="4E5335B8" w14:textId="77777777"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 xml:space="preserve">Nowym elementem infrastrukturalnym, który może wywołać zarówno kolejne impulsy rozwojowe, ale także generować problemy w zakresie przepustowości funkcjonującego układu kolejowego województwa będzie budowa w województwie mazowieckim Portu Polska (dawniej CPK) wraz z realizacją ogólnopolskiego komponentu kolejowego dla tej inwestycji. Będzie to miało wpływ na rozwój sieci </w:t>
      </w:r>
      <w:r w:rsidRPr="007E08F7">
        <w:rPr>
          <w:rFonts w:eastAsia="Aptos"/>
        </w:rPr>
        <w:lastRenderedPageBreak/>
        <w:t>kolejowej i organizację kolejowego pasażerskiego i towarowego na obszarze województwa. Realizacja zarówno samego Portu Polska, a w szczególności nowych linii kolejowych (</w:t>
      </w:r>
      <w:r w:rsidRPr="007E08F7">
        <w:rPr>
          <w:rFonts w:eastAsia="Times New Roman" w:cs="Times New Roman"/>
          <w:lang w:eastAsia="pl-PL"/>
        </w:rPr>
        <w:t>Centralna Magistrala Kolejowa Północ oraz Magistrala Warmińska)</w:t>
      </w:r>
      <w:r w:rsidRPr="007E08F7">
        <w:rPr>
          <w:rFonts w:eastAsia="Aptos"/>
        </w:rPr>
        <w:t>, które na obszarze województwa zlokalizowane będą w jego wschodniej części (Powiśle i Żuławy)</w:t>
      </w:r>
      <w:r w:rsidRPr="007E08F7">
        <w:rPr>
          <w:rFonts w:eastAsia="Times New Roman" w:cs="Times New Roman"/>
          <w:lang w:eastAsia="pl-PL"/>
        </w:rPr>
        <w:t>, stanie się czynnikiem aktywizacji gospodarczej</w:t>
      </w:r>
      <w:r w:rsidRPr="007E08F7">
        <w:rPr>
          <w:rFonts w:eastAsia="Aptos"/>
        </w:rPr>
        <w:t>, będzie wymagała pełnej koordynacji działań z planowanymi inwestycjami.</w:t>
      </w:r>
    </w:p>
    <w:p w14:paraId="6940A16E" w14:textId="6A510C57"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Zasadniczym wyzwaniem transformacji energetycznej państwa będzie rozwój OZE i</w:t>
      </w:r>
      <w:r w:rsidR="00310B6F" w:rsidRPr="007E08F7">
        <w:rPr>
          <w:rFonts w:eastAsia="Aptos"/>
        </w:rPr>
        <w:t> </w:t>
      </w:r>
      <w:r w:rsidRPr="007E08F7">
        <w:rPr>
          <w:rFonts w:eastAsia="Aptos"/>
        </w:rPr>
        <w:t xml:space="preserve">energetyki jądrowej. Pomorze w tym zakresie staje się kluczowym obszarem lokalizacji inwestycji wyprowadzających moc z morskich farm wiatrowych lokalizowanych na polskich obszarach morskich (ok. 6-9 GW), ale także lokalizacji OZE na lądzie. Kluczowymi rejonami lokalizacji morskiej energetyki wiatrowej będą obszary na wysokości województwa pomorskiego </w:t>
      </w:r>
      <w:r w:rsidRPr="007E08F7">
        <w:rPr>
          <w:rFonts w:eastAsia="Aptos" w:cs="Open Sans"/>
          <w:color w:val="1B1B1B"/>
          <w:shd w:val="clear" w:color="auto" w:fill="FFFFFF"/>
        </w:rPr>
        <w:t>Ławica Słupska i Ławica Środkowa w polskiej wyłącznej strefie ekonomicznej Morza Bałtyckiego.</w:t>
      </w:r>
      <w:r w:rsidRPr="007E08F7">
        <w:rPr>
          <w:rFonts w:ascii="Open Sans" w:eastAsia="Aptos" w:hAnsi="Open Sans" w:cs="Open Sans"/>
          <w:color w:val="1B1B1B"/>
          <w:shd w:val="clear" w:color="auto" w:fill="FFFFFF"/>
        </w:rPr>
        <w:t xml:space="preserve"> </w:t>
      </w:r>
      <w:r w:rsidRPr="007E08F7">
        <w:rPr>
          <w:rFonts w:eastAsia="Aptos"/>
        </w:rPr>
        <w:t>Rozwój morskiej energetyki wiatrowej będzie stymulował zarówno rozwój przedsiębiorstw w</w:t>
      </w:r>
      <w:r w:rsidR="00310B6F" w:rsidRPr="007E08F7">
        <w:rPr>
          <w:rFonts w:eastAsia="Aptos"/>
        </w:rPr>
        <w:t> </w:t>
      </w:r>
      <w:r w:rsidRPr="007E08F7">
        <w:rPr>
          <w:rFonts w:eastAsia="Aptos"/>
        </w:rPr>
        <w:t>procesie budowy, eksploatacji i serwisowania farm wiatrowych, ale także rozwój technologii. Kluczowym obszarem rozwoju zarówno energetyki, ale także gospodarki regionu będzie proces budowy pierwszej w Polsce elektrowni jądrowej w Choczewie (3,75 GW). Rozwój energetyki jądrowej wymagać będzie nowych kompetencji zarówno podmiotów chcących wziąć udział w procesie budowy, ale także rozwinięcia nowych profilów badawczo-rozwojowych na uczelniach, a także profilów kształcenia w szkołach branżowych. Nowym źródłem systemowej produkcji energii elektrycznej w województwie będzie także budowana elektrownia gazowo-parowa (560 MW) w Gdańsku.</w:t>
      </w:r>
    </w:p>
    <w:p w14:paraId="6F7DE95A" w14:textId="0C12660F"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rPr>
        <w:t xml:space="preserve">Lokalizacja nowych źródeł energii elektrycznej na obszarze województwa pomorskiego wymagać będzie rozbudowy Krajowego Systemu Elektroenergetycznego, w tym pełnej realizacji tzw. Bałtyckiego Pierścienienia Energetycznego (TEN-E). Generować to będzie także potrzebę rozbudowy Krajowego Systemu </w:t>
      </w:r>
      <w:proofErr w:type="spellStart"/>
      <w:r w:rsidRPr="007E08F7">
        <w:rPr>
          <w:rFonts w:eastAsia="Aptos"/>
        </w:rPr>
        <w:t>Przesyłu</w:t>
      </w:r>
      <w:proofErr w:type="spellEnd"/>
      <w:r w:rsidRPr="007E08F7">
        <w:rPr>
          <w:rFonts w:eastAsia="Aptos"/>
        </w:rPr>
        <w:t xml:space="preserve"> Gazu, w tym w związku z realizacją terminala </w:t>
      </w:r>
      <w:proofErr w:type="spellStart"/>
      <w:r w:rsidRPr="007E08F7">
        <w:rPr>
          <w:rFonts w:eastAsia="Aptos"/>
        </w:rPr>
        <w:t>regazyfikacyjnego</w:t>
      </w:r>
      <w:proofErr w:type="spellEnd"/>
      <w:r w:rsidRPr="007E08F7">
        <w:rPr>
          <w:rFonts w:eastAsia="Aptos"/>
        </w:rPr>
        <w:t xml:space="preserve"> FSRU na wodach Zatoki Gdańskiej. Czynniki te w powiązaniu z planowaną przez PERN budową II nitki Ropociągu Pomorskiego z</w:t>
      </w:r>
      <w:r w:rsidRPr="007E08F7">
        <w:rPr>
          <w:rFonts w:eastAsia="Aptos" w:cs="Segoe UI"/>
          <w:shd w:val="clear" w:color="auto" w:fill="FFFFFF"/>
        </w:rPr>
        <w:t xml:space="preserve">abezpieczającej transport ropy naftowej z </w:t>
      </w:r>
      <w:proofErr w:type="spellStart"/>
      <w:r w:rsidRPr="007E08F7">
        <w:rPr>
          <w:rFonts w:eastAsia="Aptos" w:cs="Segoe UI"/>
          <w:shd w:val="clear" w:color="auto" w:fill="FFFFFF"/>
        </w:rPr>
        <w:t>Naftoporu</w:t>
      </w:r>
      <w:proofErr w:type="spellEnd"/>
      <w:r w:rsidRPr="007E08F7">
        <w:rPr>
          <w:rFonts w:eastAsia="Aptos" w:cs="Segoe UI"/>
          <w:shd w:val="clear" w:color="auto" w:fill="FFFFFF"/>
        </w:rPr>
        <w:t xml:space="preserve"> w Gdańsku do bazy PERN w Miszewko Strzałkowskie k</w:t>
      </w:r>
      <w:r w:rsidR="00C577C9" w:rsidRPr="007E08F7">
        <w:rPr>
          <w:rFonts w:eastAsia="Aptos" w:cs="Segoe UI"/>
          <w:shd w:val="clear" w:color="auto" w:fill="FFFFFF"/>
        </w:rPr>
        <w:t>oło</w:t>
      </w:r>
      <w:r w:rsidRPr="007E08F7">
        <w:rPr>
          <w:rFonts w:eastAsia="Aptos" w:cs="Segoe UI"/>
          <w:shd w:val="clear" w:color="auto" w:fill="FFFFFF"/>
        </w:rPr>
        <w:t xml:space="preserve"> Płocka (woj. mazowieckie) i dalej do zakładów PKN ORLEN S.A. w Płocku, ukształtują na Pomorzu hub paliwowo-energetyczny.</w:t>
      </w:r>
    </w:p>
    <w:p w14:paraId="4C6E0D38" w14:textId="3ED369D0" w:rsidR="002B6024" w:rsidRPr="007E08F7" w:rsidRDefault="002B6024">
      <w:pPr>
        <w:numPr>
          <w:ilvl w:val="0"/>
          <w:numId w:val="63"/>
        </w:numPr>
        <w:tabs>
          <w:tab w:val="left" w:pos="6521"/>
          <w:tab w:val="left" w:pos="6663"/>
        </w:tabs>
        <w:spacing w:before="120" w:after="120" w:line="288" w:lineRule="auto"/>
        <w:ind w:left="426" w:hanging="426"/>
        <w:rPr>
          <w:rFonts w:eastAsia="Aptos" w:cs="Segoe UI"/>
        </w:rPr>
      </w:pPr>
      <w:r w:rsidRPr="007E08F7">
        <w:rPr>
          <w:rFonts w:eastAsia="Aptos" w:cs="Segoe UI"/>
          <w:shd w:val="clear" w:color="auto" w:fill="FFFFFF"/>
        </w:rPr>
        <w:t>W związku z docelowym zwiększeniem wytwarzania energii elektrycznej na północy kraju istotnym wyzwaniem staje się potrzeba stworzenia optymalnych warunków dla</w:t>
      </w:r>
      <w:r w:rsidR="00B32A7D" w:rsidRPr="007E08F7">
        <w:rPr>
          <w:rFonts w:eastAsia="Aptos" w:cs="Segoe UI"/>
          <w:shd w:val="clear" w:color="auto" w:fill="FFFFFF"/>
        </w:rPr>
        <w:t> </w:t>
      </w:r>
      <w:r w:rsidRPr="007E08F7">
        <w:rPr>
          <w:rFonts w:eastAsia="Aptos" w:cs="Segoe UI"/>
          <w:shd w:val="clear" w:color="auto" w:fill="FFFFFF"/>
        </w:rPr>
        <w:t>przyciągania do regionu inwestycji obszarze nowoczesnych technologii, a</w:t>
      </w:r>
      <w:r w:rsidR="00B32A7D" w:rsidRPr="007E08F7">
        <w:rPr>
          <w:rFonts w:eastAsia="Aptos" w:cs="Segoe UI"/>
          <w:shd w:val="clear" w:color="auto" w:fill="FFFFFF"/>
        </w:rPr>
        <w:t> </w:t>
      </w:r>
      <w:r w:rsidRPr="007E08F7">
        <w:rPr>
          <w:rFonts w:eastAsia="Aptos" w:cs="Segoe UI"/>
          <w:shd w:val="clear" w:color="auto" w:fill="FFFFFF"/>
        </w:rPr>
        <w:t xml:space="preserve">zwłaszcza przemysłów energochłonnych. Generować to będzie konieczność wyznaczania nowych dużych terenów inwestycyjnych, zarówno w lokalizacjach </w:t>
      </w:r>
      <w:r w:rsidRPr="007E08F7">
        <w:rPr>
          <w:rFonts w:eastAsia="Aptos" w:cs="Segoe UI"/>
          <w:shd w:val="clear" w:color="auto" w:fill="FFFFFF"/>
        </w:rPr>
        <w:lastRenderedPageBreak/>
        <w:t>już</w:t>
      </w:r>
      <w:r w:rsidR="00B32A7D" w:rsidRPr="007E08F7">
        <w:rPr>
          <w:rFonts w:eastAsia="Aptos" w:cs="Segoe UI"/>
          <w:shd w:val="clear" w:color="auto" w:fill="FFFFFF"/>
        </w:rPr>
        <w:t> </w:t>
      </w:r>
      <w:r w:rsidRPr="007E08F7">
        <w:rPr>
          <w:rFonts w:eastAsia="Aptos" w:cs="Segoe UI"/>
          <w:shd w:val="clear" w:color="auto" w:fill="FFFFFF"/>
        </w:rPr>
        <w:t>zagospodarowanych, ale wymagających dostosowania do nowych potrzeb, ale</w:t>
      </w:r>
      <w:r w:rsidR="00B32A7D" w:rsidRPr="007E08F7">
        <w:rPr>
          <w:rFonts w:eastAsia="Aptos" w:cs="Segoe UI"/>
          <w:shd w:val="clear" w:color="auto" w:fill="FFFFFF"/>
        </w:rPr>
        <w:t> </w:t>
      </w:r>
      <w:r w:rsidRPr="007E08F7">
        <w:rPr>
          <w:rFonts w:eastAsia="Aptos" w:cs="Segoe UI"/>
          <w:shd w:val="clear" w:color="auto" w:fill="FFFFFF"/>
        </w:rPr>
        <w:t xml:space="preserve">także całkowicie nowych terenów inwestycyjnych (tzw. </w:t>
      </w:r>
      <w:proofErr w:type="spellStart"/>
      <w:r w:rsidRPr="007E08F7">
        <w:rPr>
          <w:rFonts w:eastAsia="Aptos" w:cs="Segoe UI"/>
          <w:shd w:val="clear" w:color="auto" w:fill="FFFFFF"/>
        </w:rPr>
        <w:t>greenfields</w:t>
      </w:r>
      <w:proofErr w:type="spellEnd"/>
      <w:r w:rsidRPr="007E08F7">
        <w:rPr>
          <w:rFonts w:eastAsia="Aptos" w:cs="Segoe UI"/>
          <w:shd w:val="clear" w:color="auto" w:fill="FFFFFF"/>
        </w:rPr>
        <w:t>).</w:t>
      </w:r>
      <w:r w:rsidRPr="007E08F7">
        <w:rPr>
          <w:rFonts w:eastAsia="Aptos" w:cs="Segoe UI"/>
        </w:rPr>
        <w:t xml:space="preserve"> Czynnikiem ich lokalizacji powinna być także dostępność do węzłów drogowych na drogach krajowych i bocznic kolejowych.</w:t>
      </w:r>
    </w:p>
    <w:p w14:paraId="34FDE9FF" w14:textId="345F2457" w:rsidR="002B6024" w:rsidRPr="007E08F7" w:rsidRDefault="002B6024">
      <w:pPr>
        <w:numPr>
          <w:ilvl w:val="0"/>
          <w:numId w:val="63"/>
        </w:numPr>
        <w:tabs>
          <w:tab w:val="left" w:pos="6521"/>
          <w:tab w:val="left" w:pos="6663"/>
        </w:tabs>
        <w:spacing w:before="120" w:after="120" w:line="288" w:lineRule="auto"/>
        <w:ind w:left="426" w:hanging="426"/>
        <w:rPr>
          <w:rFonts w:eastAsia="Aptos"/>
        </w:rPr>
      </w:pPr>
      <w:r w:rsidRPr="007E08F7">
        <w:rPr>
          <w:rFonts w:eastAsia="Aptos"/>
          <w:color w:val="000000"/>
          <w:shd w:val="clear" w:color="auto" w:fill="FFFFFF"/>
        </w:rPr>
        <w:t>Istotnym czynnikiem rozwojowym w północnej części regionu będzie budowa i</w:t>
      </w:r>
      <w:r w:rsidR="000E598F" w:rsidRPr="007E08F7">
        <w:rPr>
          <w:rFonts w:eastAsia="Aptos"/>
          <w:color w:val="000000"/>
          <w:shd w:val="clear" w:color="auto" w:fill="FFFFFF"/>
        </w:rPr>
        <w:t> </w:t>
      </w:r>
      <w:r w:rsidRPr="007E08F7">
        <w:rPr>
          <w:rFonts w:eastAsia="Aptos"/>
          <w:color w:val="000000"/>
          <w:shd w:val="clear" w:color="auto" w:fill="FFFFFF"/>
        </w:rPr>
        <w:t xml:space="preserve">eksploatacja przez KGHM Polska Miedź S.A. </w:t>
      </w:r>
      <w:r w:rsidRPr="007E08F7">
        <w:rPr>
          <w:rFonts w:eastAsia="Aptos"/>
        </w:rPr>
        <w:t xml:space="preserve">pierwszej w Polsce i drugiej na świecie podziemnej kopalni </w:t>
      </w:r>
      <w:r w:rsidRPr="007E08F7">
        <w:rPr>
          <w:rFonts w:eastAsia="Aptos"/>
          <w:color w:val="000000"/>
          <w:shd w:val="clear" w:color="auto" w:fill="FFFFFF"/>
        </w:rPr>
        <w:t>polihalitu (</w:t>
      </w:r>
      <w:r w:rsidRPr="007E08F7">
        <w:rPr>
          <w:rFonts w:eastAsia="Aptos"/>
        </w:rPr>
        <w:t>sole potasowo-magnezowe) w okolicach</w:t>
      </w:r>
      <w:r w:rsidRPr="007E08F7">
        <w:rPr>
          <w:rFonts w:eastAsia="Aptos"/>
          <w:color w:val="000000"/>
          <w:shd w:val="clear" w:color="auto" w:fill="FFFFFF"/>
        </w:rPr>
        <w:t xml:space="preserve"> </w:t>
      </w:r>
      <w:r w:rsidRPr="007E08F7">
        <w:rPr>
          <w:rFonts w:eastAsia="Aptos"/>
        </w:rPr>
        <w:t>Mieroszyna (gm. Puck). Zalegający na głębokości 744–805 metrów surowiec, stosowany jako nawóz mineralny w rolnictwie, po wydobyciu i rozdrobnieniu na powierzchni w</w:t>
      </w:r>
      <w:r w:rsidR="00B32A7D" w:rsidRPr="007E08F7">
        <w:rPr>
          <w:rFonts w:eastAsia="Aptos"/>
        </w:rPr>
        <w:t> </w:t>
      </w:r>
      <w:r w:rsidRPr="007E08F7">
        <w:rPr>
          <w:rFonts w:eastAsia="Aptos"/>
        </w:rPr>
        <w:t xml:space="preserve">zakładzie przetwórczym będzie bezpośrednio pakowany i kierowany na rynek krajowy i na eksport. Zakłada się roczną eksploatację na poziomie pomiędzy </w:t>
      </w:r>
      <w:r w:rsidR="00B32A7D" w:rsidRPr="007E08F7">
        <w:rPr>
          <w:rFonts w:eastAsia="Aptos"/>
        </w:rPr>
        <w:br/>
      </w:r>
      <w:r w:rsidRPr="007E08F7">
        <w:rPr>
          <w:rFonts w:eastAsia="Aptos"/>
        </w:rPr>
        <w:t>2,5-4</w:t>
      </w:r>
      <w:r w:rsidR="00B32A7D" w:rsidRPr="007E08F7">
        <w:rPr>
          <w:rFonts w:eastAsia="Aptos"/>
        </w:rPr>
        <w:t> </w:t>
      </w:r>
      <w:r w:rsidRPr="007E08F7">
        <w:rPr>
          <w:rFonts w:eastAsia="Aptos"/>
        </w:rPr>
        <w:t>mln t. Realizacja kopalni będzie wymagała dostosowania linii kolejowej nr 213 (Reda</w:t>
      </w:r>
      <w:r w:rsidR="00B32A7D" w:rsidRPr="007E08F7">
        <w:rPr>
          <w:rFonts w:eastAsia="Aptos"/>
        </w:rPr>
        <w:t> </w:t>
      </w:r>
      <w:r w:rsidRPr="007E08F7">
        <w:rPr>
          <w:rFonts w:eastAsia="Aptos"/>
        </w:rPr>
        <w:t>– Władysławowo) do parametrów linii towarowej, budowy bocznicy kolejowej w</w:t>
      </w:r>
      <w:r w:rsidR="000E598F" w:rsidRPr="007E08F7">
        <w:rPr>
          <w:rFonts w:eastAsia="Aptos"/>
        </w:rPr>
        <w:t> </w:t>
      </w:r>
      <w:r w:rsidRPr="007E08F7">
        <w:rPr>
          <w:rFonts w:eastAsia="Aptos"/>
        </w:rPr>
        <w:t>śladzie dawnej linii kolejowej nr 263 Swarzewo – Krokowa. Inwestycja staje się także czynnikiem, który może wzmocnić funkcje przeładunkowe Portu we</w:t>
      </w:r>
      <w:r w:rsidR="00B32A7D" w:rsidRPr="007E08F7">
        <w:rPr>
          <w:rFonts w:eastAsia="Aptos"/>
        </w:rPr>
        <w:t> </w:t>
      </w:r>
      <w:r w:rsidRPr="007E08F7">
        <w:rPr>
          <w:rFonts w:eastAsia="Aptos"/>
        </w:rPr>
        <w:t xml:space="preserve">Władysławowie oraz ważnym argumentem w dyskusji o realizacji nowego połączenia drogowego tzw. Via </w:t>
      </w:r>
      <w:proofErr w:type="spellStart"/>
      <w:r w:rsidRPr="007E08F7">
        <w:rPr>
          <w:rFonts w:eastAsia="Aptos"/>
        </w:rPr>
        <w:t>Maris</w:t>
      </w:r>
      <w:proofErr w:type="spellEnd"/>
      <w:r w:rsidRPr="007E08F7">
        <w:rPr>
          <w:rFonts w:eastAsia="Aptos"/>
        </w:rPr>
        <w:t>.</w:t>
      </w:r>
    </w:p>
    <w:p w14:paraId="227F7F8F" w14:textId="0AAABB4B" w:rsidR="002B6024" w:rsidRPr="007E08F7" w:rsidRDefault="002B6024" w:rsidP="002B6024">
      <w:pPr>
        <w:rPr>
          <w:rFonts w:eastAsia="Aptos"/>
        </w:rPr>
      </w:pPr>
      <w:r w:rsidRPr="007E08F7">
        <w:rPr>
          <w:rFonts w:eastAsia="Aptos"/>
        </w:rPr>
        <w:br w:type="page"/>
      </w:r>
    </w:p>
    <w:p w14:paraId="6238578B" w14:textId="020D5727" w:rsidR="005D02F6" w:rsidRPr="007E08F7" w:rsidRDefault="005E6854" w:rsidP="00B64E0B">
      <w:pPr>
        <w:pStyle w:val="Nagwek1"/>
      </w:pPr>
      <w:bookmarkStart w:id="83" w:name="_Toc226030413"/>
      <w:bookmarkStart w:id="84" w:name="_Toc239772106"/>
      <w:r w:rsidRPr="007E08F7">
        <w:lastRenderedPageBreak/>
        <w:t>Wymiar terytorialny</w:t>
      </w:r>
      <w:bookmarkEnd w:id="83"/>
      <w:r w:rsidRPr="007E08F7">
        <w:t xml:space="preserve"> Strategii</w:t>
      </w:r>
      <w:bookmarkEnd w:id="84"/>
      <w:r w:rsidRPr="007E08F7">
        <w:t xml:space="preserve"> </w:t>
      </w:r>
    </w:p>
    <w:p w14:paraId="109FD8BA" w14:textId="77777777" w:rsidR="000775DB" w:rsidRPr="007E08F7" w:rsidRDefault="000775DB" w:rsidP="000775DB">
      <w:pPr>
        <w:spacing w:before="120" w:after="120" w:line="288" w:lineRule="auto"/>
        <w:rPr>
          <w:rFonts w:asciiTheme="minorHAnsi" w:hAnsiTheme="minorHAnsi"/>
        </w:rPr>
      </w:pPr>
      <w:bookmarkStart w:id="85" w:name="miejskie-obszary-funkcjonalne"/>
      <w:bookmarkStart w:id="86" w:name="współpraca-i-integracja-funkcjonalna"/>
      <w:r w:rsidRPr="007E08F7">
        <w:rPr>
          <w:rFonts w:asciiTheme="minorHAnsi" w:hAnsiTheme="minorHAnsi"/>
        </w:rPr>
        <w:t>Skuteczna polityka regionalna wymaga dostosowania interwencji do zróżnicowanych uwarunkowań poszczególnych części województwa. Oznacza to planowanie działań uwzględniających specyfikę, potencjały oraz bariery rozwojowe poszczególnych obszarów regionu.</w:t>
      </w:r>
    </w:p>
    <w:p w14:paraId="5F4A245F" w14:textId="517621D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Wymiar terytorialny Strategii Rozwoju Województwa Pomorskiego 2035 określa sposób realizacji polityki rozwoju w przestrzeni regionu. Jego celem jest zapewnienie komplementarności działań podejmowanych na poziomie regionalnym, krajowym i</w:t>
      </w:r>
      <w:r w:rsidR="000E598F" w:rsidRPr="007E08F7">
        <w:rPr>
          <w:rFonts w:asciiTheme="minorHAnsi" w:hAnsiTheme="minorHAnsi"/>
        </w:rPr>
        <w:t> </w:t>
      </w:r>
      <w:r w:rsidRPr="007E08F7">
        <w:rPr>
          <w:rFonts w:asciiTheme="minorHAnsi" w:hAnsiTheme="minorHAnsi"/>
        </w:rPr>
        <w:t>lokalnym, wzmacnianie współpracy pomiędzy jednostkami samorządu terytorialnego, administracją rządową, organizacjami społeczeństwa obywatelskiego, partnerami społecznymi i gospodarczymi oraz zwiększanie efektywności interwencji publicznej poprzez koncentrację działań na obszarach, gdzie mogą one przynieść największą wartość dodaną dla rozwoju całego województwa.</w:t>
      </w:r>
    </w:p>
    <w:p w14:paraId="3A623152"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Przyjęty wymiar terytorialny Strategii opiera się na dwóch wzajemnie uzupełniających się filarach:</w:t>
      </w:r>
    </w:p>
    <w:p w14:paraId="2A7FEFC3" w14:textId="75EB4ED1" w:rsidR="005E6854" w:rsidRPr="007E08F7" w:rsidRDefault="000775DB">
      <w:pPr>
        <w:pStyle w:val="Akapitzlist"/>
        <w:numPr>
          <w:ilvl w:val="0"/>
          <w:numId w:val="61"/>
        </w:numPr>
        <w:spacing w:before="120" w:after="120" w:line="288" w:lineRule="auto"/>
        <w:ind w:left="567" w:hanging="283"/>
        <w:contextualSpacing w:val="0"/>
        <w:rPr>
          <w:rFonts w:asciiTheme="minorHAnsi" w:hAnsiTheme="minorHAnsi"/>
        </w:rPr>
      </w:pPr>
      <w:r w:rsidRPr="007E08F7">
        <w:rPr>
          <w:rFonts w:asciiTheme="minorHAnsi" w:hAnsiTheme="minorHAnsi"/>
          <w:b/>
          <w:bCs/>
        </w:rPr>
        <w:t>Wieloośrodkowy rozwój</w:t>
      </w:r>
      <w:r w:rsidRPr="007E08F7">
        <w:rPr>
          <w:rFonts w:asciiTheme="minorHAnsi" w:hAnsiTheme="minorHAnsi"/>
        </w:rPr>
        <w:t xml:space="preserve"> obejmujący wzmacnianie sieci ośrodków miejskich i ich obszarów funkcjonalnych oraz rozwój ich wzajemnych powiązań (wzmacniana będzie rola miejskich obszarów funkcjonalnych, jako biegunów rozwoju oraz ich zdolność do dyfuzji procesów rozwojowych na otaczające obszary wiejskie i</w:t>
      </w:r>
      <w:r w:rsidR="000E598F" w:rsidRPr="007E08F7">
        <w:rPr>
          <w:rFonts w:asciiTheme="minorHAnsi" w:hAnsiTheme="minorHAnsi"/>
        </w:rPr>
        <w:t> </w:t>
      </w:r>
      <w:r w:rsidRPr="007E08F7">
        <w:rPr>
          <w:rFonts w:asciiTheme="minorHAnsi" w:hAnsiTheme="minorHAnsi"/>
        </w:rPr>
        <w:t>mniejsze ośrodki miejskie).</w:t>
      </w:r>
    </w:p>
    <w:p w14:paraId="10E6B75F" w14:textId="0CCDC143" w:rsidR="000775DB" w:rsidRPr="007E08F7" w:rsidRDefault="000775DB">
      <w:pPr>
        <w:pStyle w:val="Akapitzlist"/>
        <w:numPr>
          <w:ilvl w:val="0"/>
          <w:numId w:val="61"/>
        </w:numPr>
        <w:spacing w:before="120" w:after="120" w:line="288" w:lineRule="auto"/>
        <w:ind w:left="567" w:hanging="283"/>
        <w:rPr>
          <w:rFonts w:asciiTheme="minorHAnsi" w:hAnsiTheme="minorHAnsi"/>
        </w:rPr>
      </w:pPr>
      <w:r w:rsidRPr="007E08F7">
        <w:rPr>
          <w:rFonts w:asciiTheme="minorHAnsi" w:hAnsiTheme="minorHAnsi"/>
          <w:b/>
          <w:bCs/>
        </w:rPr>
        <w:t>Podejście funkcjonalne</w:t>
      </w:r>
      <w:r w:rsidRPr="007E08F7">
        <w:rPr>
          <w:rFonts w:asciiTheme="minorHAnsi" w:hAnsiTheme="minorHAnsi"/>
        </w:rPr>
        <w:t xml:space="preserve"> oznaczające prowadzenie polityki rozwoju z</w:t>
      </w:r>
      <w:r w:rsidR="000E598F" w:rsidRPr="007E08F7">
        <w:rPr>
          <w:rFonts w:asciiTheme="minorHAnsi" w:hAnsiTheme="minorHAnsi"/>
        </w:rPr>
        <w:t> </w:t>
      </w:r>
      <w:r w:rsidRPr="007E08F7">
        <w:rPr>
          <w:rFonts w:asciiTheme="minorHAnsi" w:hAnsiTheme="minorHAnsi"/>
        </w:rPr>
        <w:t>uwzględnieniem rzeczywistych powiązań społecznych, gospodarczych, środowiskowych i infrastrukturalnych wykraczających poza granice administracyjne (interwencja będzie uwzględniała rzeczywiste powiązania funkcjonalne pomiędzy jednostkami samorządu terytorialnego, niezależnie od ich granic administracyjnych, wspierając rozwój partnerstw i wspólne rozwiązywanie problemów).</w:t>
      </w:r>
    </w:p>
    <w:p w14:paraId="7E158236"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Województwo pomorskie, ze względu na swoje położenie geograficzne, rozwój portów morskich, budowę pierwszej w Polsce elektrowni jądrowej, rozwój morskiej energetyki wiatrowej oraz sąsiedztwo z Obwodem Królewieckim Federacji Rosyjskiej, odgrywa szczególną rolę w systemie bezpieczeństwa państwa oraz bezpieczeństwa regionu Morza Bałtyckiego.</w:t>
      </w:r>
    </w:p>
    <w:p w14:paraId="1A31557E"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 xml:space="preserve">W tych uwarunkowaniach kluczowego znaczenia nabiera potrzeba budowy odporności terytorialnej, która oznacza zdolność do zapobiegania zagrożeniom, przygotowania się na ich wystąpienie, ograniczania ich skutków oraz sprawnej odbudowy po wystąpieniu sytuacji kryzysowych. </w:t>
      </w:r>
    </w:p>
    <w:p w14:paraId="71A9909F" w14:textId="43C7322E" w:rsidR="000775DB" w:rsidRPr="007E08F7" w:rsidRDefault="000775DB" w:rsidP="000775DB">
      <w:pPr>
        <w:spacing w:before="120" w:after="120" w:line="288" w:lineRule="auto"/>
        <w:rPr>
          <w:rFonts w:asciiTheme="minorHAnsi" w:hAnsiTheme="minorHAnsi"/>
        </w:rPr>
      </w:pPr>
      <w:r w:rsidRPr="007E08F7">
        <w:rPr>
          <w:rFonts w:asciiTheme="minorHAnsi" w:hAnsiTheme="minorHAnsi"/>
        </w:rPr>
        <w:lastRenderedPageBreak/>
        <w:t>Budowanie odporności terytorialnej nie stanowi odrębnego celu Strategii, lecz horyzontalnie obejmuje wszystkie cele strategiczne i operacyjne. Oznacza to konieczność uwzględnienia aspektów bezpieczeństwa i odporności przy planowaniu, w</w:t>
      </w:r>
      <w:r w:rsidR="000E598F" w:rsidRPr="007E08F7">
        <w:rPr>
          <w:rFonts w:asciiTheme="minorHAnsi" w:hAnsiTheme="minorHAnsi"/>
        </w:rPr>
        <w:t> </w:t>
      </w:r>
      <w:r w:rsidRPr="007E08F7">
        <w:rPr>
          <w:rFonts w:asciiTheme="minorHAnsi" w:hAnsiTheme="minorHAnsi"/>
        </w:rPr>
        <w:t>tym planowaniu przestrzennym, inwestycji infrastrukturalnych, transportowych i</w:t>
      </w:r>
      <w:r w:rsidR="000E598F" w:rsidRPr="007E08F7">
        <w:rPr>
          <w:rFonts w:asciiTheme="minorHAnsi" w:hAnsiTheme="minorHAnsi"/>
        </w:rPr>
        <w:t> </w:t>
      </w:r>
      <w:r w:rsidRPr="007E08F7">
        <w:rPr>
          <w:rFonts w:asciiTheme="minorHAnsi" w:hAnsiTheme="minorHAnsi"/>
        </w:rPr>
        <w:t>energetycznych, wzmacnianiu potencjału gospodarczego, ochronie zasobów środowiska, organizacji usług publicznych oraz rozwijaniu współpracy pomiędzy administracją publiczną, przedsiębiorcami i społecznościami lokalnymi.</w:t>
      </w:r>
    </w:p>
    <w:p w14:paraId="111E1967" w14:textId="74FD58F4" w:rsidR="000775DB" w:rsidRPr="007E08F7" w:rsidRDefault="000775DB" w:rsidP="000775DB">
      <w:pPr>
        <w:spacing w:before="120" w:after="120" w:line="288" w:lineRule="auto"/>
        <w:rPr>
          <w:rFonts w:asciiTheme="minorHAnsi" w:hAnsiTheme="minorHAnsi"/>
        </w:rPr>
      </w:pPr>
      <w:r w:rsidRPr="007E08F7">
        <w:rPr>
          <w:rFonts w:asciiTheme="minorHAnsi" w:hAnsiTheme="minorHAnsi"/>
        </w:rPr>
        <w:t>Podstawą określenia wymiaru terytorialnego Strategii jest polityka przestrzenna wynikająca z przyjętego modelu struktury funkcjonalno-przestrzennej, ustale</w:t>
      </w:r>
      <w:r w:rsidR="00584A42" w:rsidRPr="007E08F7">
        <w:rPr>
          <w:rFonts w:asciiTheme="minorHAnsi" w:hAnsiTheme="minorHAnsi"/>
        </w:rPr>
        <w:t>ń</w:t>
      </w:r>
      <w:r w:rsidRPr="007E08F7">
        <w:rPr>
          <w:rFonts w:asciiTheme="minorHAnsi" w:hAnsiTheme="minorHAnsi"/>
        </w:rPr>
        <w:t xml:space="preserve"> i</w:t>
      </w:r>
      <w:r w:rsidR="000E598F" w:rsidRPr="007E08F7">
        <w:rPr>
          <w:rFonts w:asciiTheme="minorHAnsi" w:hAnsiTheme="minorHAnsi"/>
        </w:rPr>
        <w:t> </w:t>
      </w:r>
      <w:r w:rsidRPr="007E08F7">
        <w:rPr>
          <w:rFonts w:asciiTheme="minorHAnsi" w:hAnsiTheme="minorHAnsi"/>
        </w:rPr>
        <w:t>rekomendacj</w:t>
      </w:r>
      <w:r w:rsidR="00584A42" w:rsidRPr="007E08F7">
        <w:rPr>
          <w:rFonts w:asciiTheme="minorHAnsi" w:hAnsiTheme="minorHAnsi"/>
        </w:rPr>
        <w:t>i</w:t>
      </w:r>
      <w:r w:rsidRPr="007E08F7">
        <w:rPr>
          <w:rFonts w:asciiTheme="minorHAnsi" w:hAnsiTheme="minorHAnsi"/>
        </w:rPr>
        <w:t xml:space="preserve"> w zakresie kształtowania i prowadzenia polityki przestrzennej oraz jej uszczegółowienia w opracowywanym Planie zagospodarowania przestrzennego województwa pomorskiego 2050.</w:t>
      </w:r>
    </w:p>
    <w:p w14:paraId="4AC13EC9" w14:textId="77777777" w:rsidR="000775DB" w:rsidRPr="007E08F7" w:rsidRDefault="000775DB" w:rsidP="002774ED">
      <w:pPr>
        <w:pStyle w:val="Nagwek2"/>
      </w:pPr>
      <w:bookmarkStart w:id="87" w:name="_Toc239772107"/>
      <w:r w:rsidRPr="007E08F7">
        <w:t>Obszary funkcjonalne</w:t>
      </w:r>
      <w:bookmarkEnd w:id="87"/>
    </w:p>
    <w:p w14:paraId="729291F6" w14:textId="6E7AB722" w:rsidR="000775DB" w:rsidRPr="007E08F7" w:rsidRDefault="000775DB" w:rsidP="000775DB">
      <w:pPr>
        <w:spacing w:before="120" w:after="120" w:line="288" w:lineRule="auto"/>
        <w:rPr>
          <w:rFonts w:asciiTheme="minorHAnsi" w:hAnsiTheme="minorHAnsi"/>
        </w:rPr>
      </w:pPr>
      <w:r w:rsidRPr="007E08F7">
        <w:rPr>
          <w:rFonts w:asciiTheme="minorHAnsi" w:hAnsiTheme="minorHAnsi"/>
        </w:rPr>
        <w:t>Obszary funkcjonalne określone w modelu struktury funkcjonalno-przestrzennej województwa nie istnieją jako odrębne terytoria interwencji. Tworzą system wzajemnych powiązań, w którym procesy rozwojowe zachodzą równocześnie w wielu wymiarach i</w:t>
      </w:r>
      <w:r w:rsidR="000E598F" w:rsidRPr="007E08F7">
        <w:rPr>
          <w:rFonts w:asciiTheme="minorHAnsi" w:hAnsiTheme="minorHAnsi"/>
        </w:rPr>
        <w:t> </w:t>
      </w:r>
      <w:r w:rsidRPr="007E08F7">
        <w:rPr>
          <w:rFonts w:asciiTheme="minorHAnsi" w:hAnsiTheme="minorHAnsi"/>
        </w:rPr>
        <w:t>wymagają koordynacji działań podejmowanych przez jednostki samorządu terytorialnego, organizacje społeczeństwa obywatelskiego oraz partnerów społecznych i</w:t>
      </w:r>
      <w:r w:rsidR="000E598F" w:rsidRPr="007E08F7">
        <w:rPr>
          <w:rFonts w:asciiTheme="minorHAnsi" w:hAnsiTheme="minorHAnsi"/>
        </w:rPr>
        <w:t> </w:t>
      </w:r>
      <w:r w:rsidRPr="007E08F7">
        <w:rPr>
          <w:rFonts w:asciiTheme="minorHAnsi" w:hAnsiTheme="minorHAnsi"/>
        </w:rPr>
        <w:t>gospodarczych.</w:t>
      </w:r>
    </w:p>
    <w:p w14:paraId="7BF68E9D" w14:textId="003DE5D3" w:rsidR="000775DB" w:rsidRPr="007E08F7" w:rsidRDefault="000775DB" w:rsidP="000775DB">
      <w:pPr>
        <w:spacing w:before="120" w:after="120" w:line="288" w:lineRule="auto"/>
        <w:rPr>
          <w:rFonts w:asciiTheme="minorHAnsi" w:hAnsiTheme="minorHAnsi"/>
        </w:rPr>
      </w:pPr>
      <w:r w:rsidRPr="007E08F7">
        <w:rPr>
          <w:rFonts w:asciiTheme="minorHAnsi" w:hAnsiTheme="minorHAnsi"/>
        </w:rPr>
        <w:t>Skuteczność polityki rozwoju województwa zależy od jakości współpracy w ramach jednostek samorządu terytorialnego tworzących obszary funkcjonalne oraz komplementarności działań podejmowanych przez poszczególne samorządy w ramach obszaru funkcjonalnego, niezależnie od instrumentów polityki regionalnej. Działania podejmowane w ramach Strategii będą ukierunkowane zarówno na wzmacnianie powiązań pomiędzy poszczególnymi ośrodkami miejskimi, rozwój trwałych partnerstw jednostek samorządu terytorialnego w ramach obszarów funkcjonalnych oraz realizację wspólnych przedsięwzięć wykraczających poza ich granice administracyjne, a</w:t>
      </w:r>
      <w:r w:rsidR="000E598F" w:rsidRPr="007E08F7">
        <w:rPr>
          <w:rFonts w:asciiTheme="minorHAnsi" w:hAnsiTheme="minorHAnsi"/>
        </w:rPr>
        <w:t> </w:t>
      </w:r>
      <w:r w:rsidRPr="007E08F7">
        <w:rPr>
          <w:rFonts w:asciiTheme="minorHAnsi" w:hAnsiTheme="minorHAnsi"/>
        </w:rPr>
        <w:t>szczególnie takich</w:t>
      </w:r>
      <w:r w:rsidR="00584A42" w:rsidRPr="007E08F7">
        <w:rPr>
          <w:rFonts w:asciiTheme="minorHAnsi" w:hAnsiTheme="minorHAnsi"/>
        </w:rPr>
        <w:t>,</w:t>
      </w:r>
      <w:r w:rsidRPr="007E08F7">
        <w:rPr>
          <w:rFonts w:asciiTheme="minorHAnsi" w:hAnsiTheme="minorHAnsi"/>
        </w:rPr>
        <w:t xml:space="preserve"> których oddziaływanie wykracza poza granice pojedyncze</w:t>
      </w:r>
      <w:r w:rsidR="00584A42" w:rsidRPr="007E08F7">
        <w:rPr>
          <w:rFonts w:asciiTheme="minorHAnsi" w:hAnsiTheme="minorHAnsi"/>
        </w:rPr>
        <w:t>j</w:t>
      </w:r>
      <w:r w:rsidRPr="007E08F7">
        <w:rPr>
          <w:rFonts w:asciiTheme="minorHAnsi" w:hAnsiTheme="minorHAnsi"/>
        </w:rPr>
        <w:t xml:space="preserve"> gminy (przedsięwzięcia punktowe wzmacniające funkcje ośrodków miejskich).</w:t>
      </w:r>
    </w:p>
    <w:p w14:paraId="3CCA0DCE"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Miejskie obszary funkcjonalne wpisują się w wieloośrodkową sieć ośrodków osadniczych województwa pomorskiego. Poszczególne ośrodki różnią się zakresem pełnionych funkcji oraz skalą oddziaływania, jednak wszystkie uczestniczą w realizacji wspólnych celów rozwoju regionu. Ich znaczenie wynika przede wszystkim z siły powiązań funkcjonalnych łączących je z otaczającymi gminami oraz z pozostałymi ośrodkami województwa.</w:t>
      </w:r>
    </w:p>
    <w:p w14:paraId="2E80598D" w14:textId="2DED417D" w:rsidR="000775DB" w:rsidRPr="007E08F7" w:rsidRDefault="000775DB" w:rsidP="000775DB">
      <w:pPr>
        <w:spacing w:before="120" w:after="120" w:line="288" w:lineRule="auto"/>
        <w:rPr>
          <w:rFonts w:asciiTheme="minorHAnsi" w:hAnsiTheme="minorHAnsi"/>
        </w:rPr>
      </w:pPr>
      <w:bookmarkStart w:id="88" w:name="funkcje-metropolitalne"/>
      <w:r w:rsidRPr="007E08F7">
        <w:rPr>
          <w:rFonts w:asciiTheme="minorHAnsi" w:hAnsiTheme="minorHAnsi"/>
        </w:rPr>
        <w:t xml:space="preserve">Kluczowym elementem wieloośrodkowej sieci miast województwa jest obszar metropolitalny, a w jego zasięgu przestrzennym rdzeń obszaru (Gdańsk, Gdynia, Sopot), </w:t>
      </w:r>
      <w:r w:rsidRPr="007E08F7">
        <w:rPr>
          <w:rFonts w:asciiTheme="minorHAnsi" w:hAnsiTheme="minorHAnsi"/>
        </w:rPr>
        <w:lastRenderedPageBreak/>
        <w:t>koncentrujący funkcje metropolitalne o znaczeniu krajowym i międzynarodowym, w tym funkcje administracyjne, naukowo-badawcze, akademickie, kulturalne, gospodarcze, w</w:t>
      </w:r>
      <w:r w:rsidR="000E598F" w:rsidRPr="007E08F7">
        <w:rPr>
          <w:rFonts w:asciiTheme="minorHAnsi" w:hAnsiTheme="minorHAnsi"/>
        </w:rPr>
        <w:t> </w:t>
      </w:r>
      <w:r w:rsidRPr="007E08F7">
        <w:rPr>
          <w:rFonts w:asciiTheme="minorHAnsi" w:hAnsiTheme="minorHAnsi"/>
        </w:rPr>
        <w:t xml:space="preserve">tym wynikające z nadmorskiego położenia. Elementem obszaru metropolitalnego jest także jego strefa funkcjonalna, będąca przede wszystkim zapleczem funkcji uzupełniających funkcje metropolitalne rdzenia oraz strefą rozległych codziennych powiązań w zakresie dojazdów do szkół, pracy i usług w związku z postępującymi procesami </w:t>
      </w:r>
      <w:proofErr w:type="spellStart"/>
      <w:r w:rsidRPr="007E08F7">
        <w:rPr>
          <w:rFonts w:asciiTheme="minorHAnsi" w:hAnsiTheme="minorHAnsi"/>
        </w:rPr>
        <w:t>suburbanizacji</w:t>
      </w:r>
      <w:proofErr w:type="spellEnd"/>
      <w:r w:rsidRPr="007E08F7">
        <w:rPr>
          <w:rFonts w:asciiTheme="minorHAnsi" w:hAnsiTheme="minorHAnsi"/>
        </w:rPr>
        <w:t>, ale także obszarem rozwoju rolnictwa i produkcji żywności na</w:t>
      </w:r>
      <w:r w:rsidR="00B32A7D" w:rsidRPr="007E08F7">
        <w:rPr>
          <w:rFonts w:asciiTheme="minorHAnsi" w:hAnsiTheme="minorHAnsi"/>
        </w:rPr>
        <w:t> </w:t>
      </w:r>
      <w:r w:rsidRPr="007E08F7">
        <w:rPr>
          <w:rFonts w:asciiTheme="minorHAnsi" w:hAnsiTheme="minorHAnsi"/>
        </w:rPr>
        <w:t xml:space="preserve">rynek aglomeracji Trójmiasta. </w:t>
      </w:r>
    </w:p>
    <w:p w14:paraId="0CF8352A"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Znaczenie obszaru metropolitalnego wzrasta również w związku z wejściem w życie ustawy o związku metropolitalnym w województwie pomorskim, której przesądzenia będą miały istotny wpływ przede wszystkim na organizację przewozów publicznym transportem zbiorowym oraz rozwój funkcji metropolitalnych, które powinny sprzyjać zwiększaniu konkurencyjności całego województwa, a także wzmacnianiu dyfuzji procesów rozwoju na pozostałe obszary województwa.</w:t>
      </w:r>
    </w:p>
    <w:p w14:paraId="291C55EA"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Kluczowa interwencja:</w:t>
      </w:r>
    </w:p>
    <w:p w14:paraId="3F18BAB0" w14:textId="7862F118" w:rsidR="000775DB" w:rsidRPr="007E08F7" w:rsidRDefault="000775DB">
      <w:pPr>
        <w:numPr>
          <w:ilvl w:val="0"/>
          <w:numId w:val="36"/>
        </w:numPr>
        <w:spacing w:before="120" w:after="120" w:line="288" w:lineRule="auto"/>
        <w:rPr>
          <w:rFonts w:asciiTheme="minorHAnsi" w:hAnsiTheme="minorHAnsi"/>
        </w:rPr>
      </w:pPr>
      <w:r w:rsidRPr="007E08F7">
        <w:rPr>
          <w:rFonts w:asciiTheme="minorHAnsi" w:hAnsiTheme="minorHAnsi"/>
        </w:rPr>
        <w:t>podnoszenie międzynarodowego znaczenia metropolii w wymiarze kulturalnym, sportowym i turystycznym, rozwój wyspecjalizowanych usług zdrowotnym o</w:t>
      </w:r>
      <w:r w:rsidR="00B32A7D" w:rsidRPr="007E08F7">
        <w:rPr>
          <w:rFonts w:asciiTheme="minorHAnsi" w:hAnsiTheme="minorHAnsi"/>
        </w:rPr>
        <w:t> </w:t>
      </w:r>
      <w:r w:rsidRPr="007E08F7">
        <w:rPr>
          <w:rFonts w:asciiTheme="minorHAnsi" w:hAnsiTheme="minorHAnsi"/>
        </w:rPr>
        <w:t>znaczeniu ponadregionalnym, rozwój oferty edukacyjnej metropolitalnych uczelni, w</w:t>
      </w:r>
      <w:r w:rsidR="000E598F" w:rsidRPr="007E08F7">
        <w:rPr>
          <w:rFonts w:asciiTheme="minorHAnsi" w:hAnsiTheme="minorHAnsi"/>
        </w:rPr>
        <w:t> </w:t>
      </w:r>
      <w:r w:rsidRPr="007E08F7">
        <w:rPr>
          <w:rFonts w:asciiTheme="minorHAnsi" w:hAnsiTheme="minorHAnsi"/>
        </w:rPr>
        <w:t>szczególności w obszarach powiązanych ze strategicznymi sektorami i</w:t>
      </w:r>
      <w:r w:rsidR="00B32A7D" w:rsidRPr="007E08F7">
        <w:rPr>
          <w:rFonts w:asciiTheme="minorHAnsi" w:hAnsiTheme="minorHAnsi"/>
        </w:rPr>
        <w:t> </w:t>
      </w:r>
      <w:r w:rsidRPr="007E08F7">
        <w:rPr>
          <w:rFonts w:asciiTheme="minorHAnsi" w:hAnsiTheme="minorHAnsi"/>
        </w:rPr>
        <w:t xml:space="preserve">technologiami, integrację metropolitalnego </w:t>
      </w:r>
      <w:r w:rsidR="00584A42" w:rsidRPr="007E08F7">
        <w:rPr>
          <w:rFonts w:asciiTheme="minorHAnsi" w:hAnsiTheme="minorHAnsi"/>
        </w:rPr>
        <w:t xml:space="preserve">publicznego </w:t>
      </w:r>
      <w:r w:rsidRPr="007E08F7">
        <w:rPr>
          <w:rFonts w:asciiTheme="minorHAnsi" w:hAnsiTheme="minorHAnsi"/>
        </w:rPr>
        <w:t>transportu</w:t>
      </w:r>
      <w:r w:rsidR="00584A42" w:rsidRPr="007E08F7">
        <w:rPr>
          <w:rFonts w:asciiTheme="minorHAnsi" w:hAnsiTheme="minorHAnsi"/>
        </w:rPr>
        <w:t xml:space="preserve"> zbiorowego</w:t>
      </w:r>
      <w:r w:rsidRPr="007E08F7">
        <w:rPr>
          <w:rFonts w:asciiTheme="minorHAnsi" w:hAnsiTheme="minorHAnsi"/>
        </w:rPr>
        <w:t>, rozwój innych ponadlokalnych usług publicznych podnoszących warunki życia oraz atrakcyjność osadniczą i inwestycyjną (CO 3.1).</w:t>
      </w:r>
    </w:p>
    <w:p w14:paraId="32BED31F" w14:textId="436FCE01" w:rsidR="000775DB" w:rsidRPr="007E08F7" w:rsidRDefault="000775DB" w:rsidP="000775DB">
      <w:pPr>
        <w:spacing w:before="120" w:after="120" w:line="288" w:lineRule="auto"/>
        <w:rPr>
          <w:rFonts w:asciiTheme="minorHAnsi" w:hAnsiTheme="minorHAnsi"/>
        </w:rPr>
      </w:pPr>
      <w:bookmarkStart w:id="89" w:name="funkcje-regionalne"/>
      <w:bookmarkEnd w:id="88"/>
      <w:r w:rsidRPr="007E08F7">
        <w:rPr>
          <w:rFonts w:asciiTheme="minorHAnsi" w:hAnsiTheme="minorHAnsi"/>
        </w:rPr>
        <w:t>Polityka regionalna prowadzona w stosunku do obszaru metropolitalnego, z uwagi na</w:t>
      </w:r>
      <w:r w:rsidR="00B32A7D" w:rsidRPr="007E08F7">
        <w:rPr>
          <w:rFonts w:asciiTheme="minorHAnsi" w:hAnsiTheme="minorHAnsi"/>
        </w:rPr>
        <w:t> </w:t>
      </w:r>
      <w:r w:rsidRPr="007E08F7">
        <w:rPr>
          <w:rFonts w:asciiTheme="minorHAnsi" w:hAnsiTheme="minorHAnsi"/>
        </w:rPr>
        <w:t>potrzebę kształtowania wieloośrodkowej struktury funkcjonalno-przestrzennej województwa, wymagać będzie odpowiednich działań zaadresowanych do ośrodków osadniczych Kartuz, Pucka, Tczewa i Wejherowa oraz ich obszarów funkcjonalnych. Interwencja w tym zakresie będzie ukierunkowana przede wszystkim na wzmacnianie funkcji tych ośrodków, a także obejmie:</w:t>
      </w:r>
    </w:p>
    <w:p w14:paraId="5DB6164A" w14:textId="77957832" w:rsidR="000775DB" w:rsidRPr="007E08F7" w:rsidRDefault="000775DB">
      <w:pPr>
        <w:numPr>
          <w:ilvl w:val="0"/>
          <w:numId w:val="36"/>
        </w:numPr>
        <w:spacing w:before="120" w:after="120" w:line="288" w:lineRule="auto"/>
        <w:rPr>
          <w:rFonts w:asciiTheme="minorHAnsi" w:hAnsiTheme="minorHAnsi"/>
        </w:rPr>
      </w:pPr>
      <w:r w:rsidRPr="007E08F7">
        <w:rPr>
          <w:rFonts w:asciiTheme="minorHAnsi" w:hAnsiTheme="minorHAnsi"/>
        </w:rPr>
        <w:t>rozwój wyspecjalizowanych usług zdrowotnym o znaczeniu ponadregionalnym, integrację metropolitalnego transportu publicznego, rozwój innych ponadlokalnych usług publicznych podnoszących warunki życia oraz atrakcyjność osadniczą i</w:t>
      </w:r>
      <w:r w:rsidR="000E598F" w:rsidRPr="007E08F7">
        <w:rPr>
          <w:rFonts w:asciiTheme="minorHAnsi" w:hAnsiTheme="minorHAnsi"/>
        </w:rPr>
        <w:t> </w:t>
      </w:r>
      <w:r w:rsidRPr="007E08F7">
        <w:rPr>
          <w:rFonts w:asciiTheme="minorHAnsi" w:hAnsiTheme="minorHAnsi"/>
        </w:rPr>
        <w:t>inwestycyjną.</w:t>
      </w:r>
    </w:p>
    <w:p w14:paraId="2D820068"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Istotnym elementem wielośrodkowej sieci miast województwa są miejskie obszary funkcjonalne Słupska-Ustki i Chojnic-Człuchowa, pełniące funkcje regionalnych centrów rozwoju.</w:t>
      </w:r>
    </w:p>
    <w:p w14:paraId="6F56625B"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 xml:space="preserve">Ośrodki te zapewniają mieszkańcom zachodniej i południowo-zachodniej części województwa dostęp do usług publicznych wyższego rzędu, rynku pracy, szkolnictwa </w:t>
      </w:r>
      <w:r w:rsidRPr="007E08F7">
        <w:rPr>
          <w:rFonts w:asciiTheme="minorHAnsi" w:hAnsiTheme="minorHAnsi"/>
        </w:rPr>
        <w:lastRenderedPageBreak/>
        <w:t xml:space="preserve">ponadpodstawowego i wyższego, ochrony zdrowia oraz koncentrują szereg funkcji gospodarczych. </w:t>
      </w:r>
    </w:p>
    <w:p w14:paraId="60082F53"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Ich rozwój będzie ukierunkowany na wzmacnianie funkcji gospodarczych, rozwój nowoczesnych usług publicznych, poprawę dostępności transportowej oraz zwiększanie zdolności do kreowania i dyfuzji procesów rozwojowych. Szczególne znaczenie będzie miało rozwijanie potencjałów poszczególnych ośrodków oraz budowanie ich komplementarności wobec funkcji obszaru metropolitalnego.</w:t>
      </w:r>
    </w:p>
    <w:p w14:paraId="350C5D24"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Kluczowa interwencja:</w:t>
      </w:r>
    </w:p>
    <w:p w14:paraId="365E0DB0" w14:textId="4B5BF03D" w:rsidR="000775DB" w:rsidRPr="007E08F7" w:rsidRDefault="000775DB">
      <w:pPr>
        <w:numPr>
          <w:ilvl w:val="0"/>
          <w:numId w:val="37"/>
        </w:numPr>
        <w:spacing w:before="120" w:after="120" w:line="288" w:lineRule="auto"/>
        <w:rPr>
          <w:rFonts w:asciiTheme="minorHAnsi" w:hAnsiTheme="minorHAnsi"/>
        </w:rPr>
      </w:pPr>
      <w:r w:rsidRPr="007E08F7">
        <w:rPr>
          <w:rFonts w:asciiTheme="minorHAnsi" w:hAnsiTheme="minorHAnsi"/>
        </w:rPr>
        <w:t>zapewnienie szerokiej oferty edukacyjnej (w tym przedszkolnej i włączającej) na poziomie lokalnym, wzmacnianie lokalnej opieki zdrowotnej i tworzenie warunków sprzyjających aktywności fizycznej mieszkańców, transformacja energetyczna i</w:t>
      </w:r>
      <w:r w:rsidR="000E598F" w:rsidRPr="007E08F7">
        <w:rPr>
          <w:rFonts w:asciiTheme="minorHAnsi" w:hAnsiTheme="minorHAnsi"/>
        </w:rPr>
        <w:t> </w:t>
      </w:r>
      <w:r w:rsidRPr="007E08F7">
        <w:rPr>
          <w:rFonts w:asciiTheme="minorHAnsi" w:hAnsiTheme="minorHAnsi"/>
        </w:rPr>
        <w:t>gospodarka obiegu zamkniętego na rzecz wzmacniania lokalnych społeczności, rozwijanie przedsiębiorczości na bazie wykorzystania lokalnych potencjałów (CO</w:t>
      </w:r>
      <w:r w:rsidR="000E598F" w:rsidRPr="007E08F7">
        <w:rPr>
          <w:rFonts w:asciiTheme="minorHAnsi" w:hAnsiTheme="minorHAnsi"/>
        </w:rPr>
        <w:t> </w:t>
      </w:r>
      <w:r w:rsidRPr="007E08F7">
        <w:rPr>
          <w:rFonts w:asciiTheme="minorHAnsi" w:hAnsiTheme="minorHAnsi"/>
        </w:rPr>
        <w:t>3.2);</w:t>
      </w:r>
    </w:p>
    <w:p w14:paraId="513FEA16" w14:textId="77777777" w:rsidR="000775DB" w:rsidRPr="007E08F7" w:rsidRDefault="000775DB">
      <w:pPr>
        <w:numPr>
          <w:ilvl w:val="0"/>
          <w:numId w:val="37"/>
        </w:numPr>
        <w:spacing w:before="120" w:after="120" w:line="288" w:lineRule="auto"/>
        <w:rPr>
          <w:rFonts w:asciiTheme="minorHAnsi" w:hAnsiTheme="minorHAnsi"/>
        </w:rPr>
      </w:pPr>
      <w:r w:rsidRPr="007E08F7">
        <w:rPr>
          <w:rFonts w:asciiTheme="minorHAnsi" w:hAnsiTheme="minorHAnsi"/>
        </w:rPr>
        <w:t>budowa dostępnych dla wszystkich użytkowników, przystępnych cenowo, wysokiej jakości lokalnych systemów publicznego transportu zbiorowego (CO 3.3);</w:t>
      </w:r>
    </w:p>
    <w:p w14:paraId="1C041CF8" w14:textId="52345B20" w:rsidR="000775DB" w:rsidRPr="007E08F7" w:rsidRDefault="000775DB">
      <w:pPr>
        <w:numPr>
          <w:ilvl w:val="0"/>
          <w:numId w:val="37"/>
        </w:numPr>
        <w:spacing w:before="120" w:after="120" w:line="288" w:lineRule="auto"/>
        <w:rPr>
          <w:rFonts w:asciiTheme="minorHAnsi" w:hAnsiTheme="minorHAnsi"/>
        </w:rPr>
      </w:pPr>
      <w:r w:rsidRPr="007E08F7">
        <w:rPr>
          <w:rFonts w:eastAsia="Aptos"/>
          <w:kern w:val="0"/>
          <w14:ligatures w14:val="none"/>
        </w:rPr>
        <w:t>rozwój dostępnych, skoordynowanych usług zdrowotnych i społecznych dla osób starszych, osób z niepełnosprawnościami, przewlekle chorych oraz osób o</w:t>
      </w:r>
      <w:r w:rsidR="000E598F" w:rsidRPr="007E08F7">
        <w:rPr>
          <w:rFonts w:eastAsia="Aptos"/>
          <w:kern w:val="0"/>
          <w14:ligatures w14:val="none"/>
        </w:rPr>
        <w:t> </w:t>
      </w:r>
      <w:r w:rsidRPr="007E08F7">
        <w:rPr>
          <w:rFonts w:eastAsia="Aptos"/>
          <w:kern w:val="0"/>
          <w14:ligatures w14:val="none"/>
        </w:rPr>
        <w:t>ograniczonej samodzielności, rozwój opieki okołoporodowej i wsparcia we wczesnym okresie życia dziecka, wzmacnianie profilaktyki, diagnostyki i opieki zdrowotnej dzieci i młodzieży, rozwój opieki zdrowotnej w zakresie zdrowia psychicznego, wzmacnianie roli profilaktyki, wczesnej diagnostyki i kompleksowej rehabilitacji</w:t>
      </w:r>
      <w:r w:rsidRPr="007E08F7">
        <w:rPr>
          <w:rFonts w:asciiTheme="minorHAnsi" w:hAnsiTheme="minorHAnsi"/>
        </w:rPr>
        <w:t xml:space="preserve"> (CO 4.1)</w:t>
      </w:r>
      <w:bookmarkStart w:id="90" w:name="funkcje-subregionalne"/>
      <w:bookmarkEnd w:id="89"/>
      <w:r w:rsidRPr="007E08F7">
        <w:rPr>
          <w:rFonts w:asciiTheme="minorHAnsi" w:hAnsiTheme="minorHAnsi"/>
        </w:rPr>
        <w:t>.</w:t>
      </w:r>
    </w:p>
    <w:p w14:paraId="64D81ACD"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 xml:space="preserve">Uzupełniające znaczenie dla wieloośrodkowej sieci miast mają </w:t>
      </w:r>
      <w:proofErr w:type="spellStart"/>
      <w:r w:rsidRPr="007E08F7">
        <w:rPr>
          <w:rFonts w:asciiTheme="minorHAnsi" w:hAnsiTheme="minorHAnsi"/>
        </w:rPr>
        <w:t>subregionalne</w:t>
      </w:r>
      <w:proofErr w:type="spellEnd"/>
      <w:r w:rsidRPr="007E08F7">
        <w:rPr>
          <w:rFonts w:asciiTheme="minorHAnsi" w:hAnsiTheme="minorHAnsi"/>
        </w:rPr>
        <w:t xml:space="preserve"> ośrodki osadnicze i ich obszary funkcjonalne: Bytów, Kościerzyna, Kwidzyn, Lębork, Malbork-Sztum oraz Starogard Gdański.</w:t>
      </w:r>
    </w:p>
    <w:p w14:paraId="518919F7"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Ośrodki te pełnią funkcje ponadlokalnych centrów administracyjnych, edukacyjnych, społecznych i gospodarczych, zapewniając mieszkańcom dostęp do podstawowych usług publicznych oraz wspierając rozwój lokalnych rynków pracy i przedsiębiorczości.</w:t>
      </w:r>
    </w:p>
    <w:p w14:paraId="13B5FD5D"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Ich rola polega przede wszystkim na integrowaniu lokalnych systemów osadniczych, wzmacnianiu powiązań funkcjonalnych pomiędzy obszarami miejskimi i wiejskimi oraz przeciwdziałaniu procesom peryferyzacji</w:t>
      </w:r>
      <w:bookmarkEnd w:id="90"/>
      <w:r w:rsidRPr="007E08F7">
        <w:rPr>
          <w:rFonts w:asciiTheme="minorHAnsi" w:hAnsiTheme="minorHAnsi"/>
        </w:rPr>
        <w:t>.</w:t>
      </w:r>
    </w:p>
    <w:p w14:paraId="47C58A16"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Kluczowa interwencja:</w:t>
      </w:r>
    </w:p>
    <w:p w14:paraId="004F5BC4" w14:textId="68F9E4ED" w:rsidR="000775DB" w:rsidRPr="007E08F7" w:rsidRDefault="000775DB">
      <w:pPr>
        <w:numPr>
          <w:ilvl w:val="0"/>
          <w:numId w:val="37"/>
        </w:numPr>
        <w:spacing w:before="120" w:after="120" w:line="288" w:lineRule="auto"/>
        <w:rPr>
          <w:rFonts w:asciiTheme="minorHAnsi" w:hAnsiTheme="minorHAnsi"/>
        </w:rPr>
      </w:pPr>
      <w:r w:rsidRPr="007E08F7">
        <w:rPr>
          <w:rFonts w:asciiTheme="minorHAnsi" w:hAnsiTheme="minorHAnsi"/>
        </w:rPr>
        <w:t xml:space="preserve">zapewnienie szerokiej oferty edukacyjnej (w tym przedszkolnej i włączającej) na poziomie lokalnym, wzmacnianie lokalnej opieki zdrowotnej i tworzenie warunków sprzyjających aktywności fizycznej mieszkańców, transformacja energetyczna </w:t>
      </w:r>
      <w:r w:rsidRPr="007E08F7">
        <w:rPr>
          <w:rFonts w:asciiTheme="minorHAnsi" w:hAnsiTheme="minorHAnsi"/>
        </w:rPr>
        <w:lastRenderedPageBreak/>
        <w:t>i</w:t>
      </w:r>
      <w:r w:rsidR="000E598F" w:rsidRPr="007E08F7">
        <w:rPr>
          <w:rFonts w:asciiTheme="minorHAnsi" w:hAnsiTheme="minorHAnsi"/>
        </w:rPr>
        <w:t> </w:t>
      </w:r>
      <w:r w:rsidRPr="007E08F7">
        <w:rPr>
          <w:rFonts w:asciiTheme="minorHAnsi" w:hAnsiTheme="minorHAnsi"/>
        </w:rPr>
        <w:t>gospodarka obiegu zamkniętego na rzecz wzmacniania lokalnych społeczności, rozwijanie przedsiębiorczości na bazie wykorzystania lokalnych potencjałów (CO</w:t>
      </w:r>
      <w:r w:rsidR="000E598F" w:rsidRPr="007E08F7">
        <w:rPr>
          <w:rFonts w:asciiTheme="minorHAnsi" w:hAnsiTheme="minorHAnsi"/>
        </w:rPr>
        <w:t> </w:t>
      </w:r>
      <w:r w:rsidRPr="007E08F7">
        <w:rPr>
          <w:rFonts w:asciiTheme="minorHAnsi" w:hAnsiTheme="minorHAnsi"/>
        </w:rPr>
        <w:t>3.2);</w:t>
      </w:r>
    </w:p>
    <w:p w14:paraId="7F8025A6" w14:textId="77777777" w:rsidR="000775DB" w:rsidRPr="007E08F7" w:rsidRDefault="000775DB">
      <w:pPr>
        <w:numPr>
          <w:ilvl w:val="0"/>
          <w:numId w:val="37"/>
        </w:numPr>
        <w:spacing w:before="120" w:after="120" w:line="288" w:lineRule="auto"/>
        <w:rPr>
          <w:rFonts w:asciiTheme="minorHAnsi" w:hAnsiTheme="minorHAnsi"/>
        </w:rPr>
      </w:pPr>
      <w:r w:rsidRPr="007E08F7">
        <w:rPr>
          <w:rFonts w:asciiTheme="minorHAnsi" w:hAnsiTheme="minorHAnsi"/>
        </w:rPr>
        <w:t>budowa dostępnych dla wszystkich użytkowników, przystępnych cenowo, wysokiej jakości lokalnych systemów publicznego transportu zbiorowego (CO 3.3);</w:t>
      </w:r>
    </w:p>
    <w:p w14:paraId="4BDE0534" w14:textId="6D50533F" w:rsidR="000775DB" w:rsidRPr="007E08F7" w:rsidRDefault="000775DB">
      <w:pPr>
        <w:numPr>
          <w:ilvl w:val="0"/>
          <w:numId w:val="37"/>
        </w:numPr>
        <w:spacing w:before="120" w:after="120" w:line="288" w:lineRule="auto"/>
        <w:rPr>
          <w:rFonts w:asciiTheme="minorHAnsi" w:hAnsiTheme="minorHAnsi"/>
        </w:rPr>
      </w:pPr>
      <w:r w:rsidRPr="007E08F7">
        <w:rPr>
          <w:rFonts w:eastAsia="Aptos"/>
          <w:kern w:val="0"/>
          <w14:ligatures w14:val="none"/>
        </w:rPr>
        <w:t>rozwój dostępnych, skoordynowanych usług zdrowotnych i społecznych dla osób starszych, osób z niepełnosprawnościami, przewlekle chorych oraz osób o</w:t>
      </w:r>
      <w:r w:rsidR="000E598F" w:rsidRPr="007E08F7">
        <w:rPr>
          <w:rFonts w:eastAsia="Aptos"/>
          <w:kern w:val="0"/>
          <w14:ligatures w14:val="none"/>
        </w:rPr>
        <w:t> </w:t>
      </w:r>
      <w:r w:rsidRPr="007E08F7">
        <w:rPr>
          <w:rFonts w:eastAsia="Aptos"/>
          <w:kern w:val="0"/>
          <w14:ligatures w14:val="none"/>
        </w:rPr>
        <w:t>ograniczonej samodzielności, rozwój opieki okołoporodowej i wsparcia we</w:t>
      </w:r>
      <w:r w:rsidR="00B32A7D" w:rsidRPr="007E08F7">
        <w:rPr>
          <w:rFonts w:eastAsia="Aptos"/>
          <w:kern w:val="0"/>
          <w14:ligatures w14:val="none"/>
        </w:rPr>
        <w:t> </w:t>
      </w:r>
      <w:r w:rsidRPr="007E08F7">
        <w:rPr>
          <w:rFonts w:eastAsia="Aptos"/>
          <w:kern w:val="0"/>
          <w14:ligatures w14:val="none"/>
        </w:rPr>
        <w:t>wczesnym okresie życia dziecka, wzmacnianie profilaktyki, diagnostyki i opieki zdrowotnej dzieci i młodzieży, rozwój opieki zdrowotnej w zakresie zdrowia psychicznego, wzmacnianie roli profilaktyki, wczesnej diagnostyki i kompleksowej rehabilitacji</w:t>
      </w:r>
      <w:r w:rsidRPr="007E08F7">
        <w:rPr>
          <w:rFonts w:asciiTheme="minorHAnsi" w:hAnsiTheme="minorHAnsi"/>
        </w:rPr>
        <w:t xml:space="preserve"> (CO 4.1).</w:t>
      </w:r>
    </w:p>
    <w:p w14:paraId="353BB072" w14:textId="377509D3" w:rsidR="005E6854" w:rsidRPr="007E08F7" w:rsidRDefault="005E6854" w:rsidP="005E6854">
      <w:pPr>
        <w:pStyle w:val="Legenda"/>
        <w:keepNext/>
        <w:rPr>
          <w:i w:val="0"/>
          <w:iCs w:val="0"/>
          <w:sz w:val="24"/>
          <w:szCs w:val="24"/>
        </w:rPr>
      </w:pPr>
      <w:bookmarkStart w:id="91" w:name="_Toc239689656"/>
      <w:r w:rsidRPr="007E08F7">
        <w:rPr>
          <w:i w:val="0"/>
          <w:iCs w:val="0"/>
          <w:sz w:val="24"/>
          <w:szCs w:val="24"/>
        </w:rPr>
        <w:t xml:space="preserve">Rysunek </w:t>
      </w:r>
      <w:r w:rsidRPr="007E08F7">
        <w:rPr>
          <w:i w:val="0"/>
          <w:iCs w:val="0"/>
          <w:sz w:val="24"/>
          <w:szCs w:val="24"/>
        </w:rPr>
        <w:fldChar w:fldCharType="begin"/>
      </w:r>
      <w:r w:rsidRPr="007E08F7">
        <w:rPr>
          <w:i w:val="0"/>
          <w:iCs w:val="0"/>
          <w:sz w:val="24"/>
          <w:szCs w:val="24"/>
        </w:rPr>
        <w:instrText xml:space="preserve"> SEQ Rysunek \* ARABIC </w:instrText>
      </w:r>
      <w:r w:rsidRPr="007E08F7">
        <w:rPr>
          <w:i w:val="0"/>
          <w:iCs w:val="0"/>
          <w:sz w:val="24"/>
          <w:szCs w:val="24"/>
        </w:rPr>
        <w:fldChar w:fldCharType="separate"/>
      </w:r>
      <w:r w:rsidR="00AD5F45" w:rsidRPr="007E08F7">
        <w:rPr>
          <w:i w:val="0"/>
          <w:iCs w:val="0"/>
          <w:noProof/>
          <w:sz w:val="24"/>
          <w:szCs w:val="24"/>
        </w:rPr>
        <w:t>4</w:t>
      </w:r>
      <w:r w:rsidRPr="007E08F7">
        <w:rPr>
          <w:i w:val="0"/>
          <w:iCs w:val="0"/>
          <w:sz w:val="24"/>
          <w:szCs w:val="24"/>
        </w:rPr>
        <w:fldChar w:fldCharType="end"/>
      </w:r>
      <w:r w:rsidRPr="007E08F7">
        <w:rPr>
          <w:i w:val="0"/>
          <w:iCs w:val="0"/>
          <w:sz w:val="24"/>
          <w:szCs w:val="24"/>
        </w:rPr>
        <w:t xml:space="preserve"> Miejskie obszary funkcjonalne</w:t>
      </w:r>
      <w:bookmarkEnd w:id="91"/>
    </w:p>
    <w:p w14:paraId="532B8C3A" w14:textId="77777777" w:rsidR="00DB39B9" w:rsidRPr="007E08F7" w:rsidRDefault="00DB39B9" w:rsidP="00DB39B9">
      <w:pPr>
        <w:spacing w:before="120" w:after="120" w:line="288" w:lineRule="auto"/>
        <w:rPr>
          <w:rFonts w:asciiTheme="minorHAnsi" w:hAnsiTheme="minorHAnsi"/>
        </w:rPr>
      </w:pPr>
      <w:r w:rsidRPr="007E08F7">
        <w:rPr>
          <w:rFonts w:asciiTheme="minorHAnsi" w:hAnsiTheme="minorHAnsi"/>
          <w:noProof/>
        </w:rPr>
        <w:drawing>
          <wp:inline distT="0" distB="0" distL="0" distR="0" wp14:anchorId="266D2497" wp14:editId="26BFC9C9">
            <wp:extent cx="5760720" cy="4073525"/>
            <wp:effectExtent l="19050" t="19050" r="11430" b="22225"/>
            <wp:docPr id="2081078775" name="Obraz 2" descr="Zasięg przestrzenny miejskich obszarów funkcjonalnych (MOF) na terenie województwa pomorskiego, z podziałem na MOF leżące w granicach obszaru metropolitalnego Gdańsk-Gdynia-Sopot oraz leżące poza n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78775" name="Obraz 2" descr="Zasięg przestrzenny miejskich obszarów funkcjonalnych (MOF) na terenie województwa pomorskiego, z podziałem na MOF leżące w granicach obszaru metropolitalnego Gdańsk-Gdynia-Sopot oraz leżące poza nim.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4073525"/>
                    </a:xfrm>
                    <a:prstGeom prst="rect">
                      <a:avLst/>
                    </a:prstGeom>
                    <a:noFill/>
                    <a:ln w="3175">
                      <a:solidFill>
                        <a:schemeClr val="accent1"/>
                      </a:solidFill>
                    </a:ln>
                  </pic:spPr>
                </pic:pic>
              </a:graphicData>
            </a:graphic>
          </wp:inline>
        </w:drawing>
      </w:r>
    </w:p>
    <w:p w14:paraId="0A905B64" w14:textId="4A50EC80" w:rsidR="00DB39B9" w:rsidRPr="007E08F7" w:rsidRDefault="004A4A4B" w:rsidP="00DB39B9">
      <w:pPr>
        <w:spacing w:before="120" w:after="120" w:line="288" w:lineRule="auto"/>
        <w:rPr>
          <w:rFonts w:asciiTheme="minorHAnsi" w:hAnsiTheme="minorHAnsi"/>
          <w:sz w:val="20"/>
          <w:szCs w:val="20"/>
        </w:rPr>
      </w:pPr>
      <w:r w:rsidRPr="007E08F7">
        <w:rPr>
          <w:rFonts w:asciiTheme="minorHAnsi" w:hAnsiTheme="minorHAnsi"/>
          <w:sz w:val="20"/>
          <w:szCs w:val="20"/>
        </w:rPr>
        <w:t xml:space="preserve">Źródło: </w:t>
      </w:r>
      <w:r w:rsidR="00B61C92" w:rsidRPr="007E08F7">
        <w:rPr>
          <w:rFonts w:asciiTheme="minorHAnsi" w:hAnsiTheme="minorHAnsi"/>
          <w:sz w:val="20"/>
          <w:szCs w:val="20"/>
        </w:rPr>
        <w:t>O</w:t>
      </w:r>
      <w:r w:rsidR="00DB39B9" w:rsidRPr="007E08F7">
        <w:rPr>
          <w:rFonts w:asciiTheme="minorHAnsi" w:hAnsiTheme="minorHAnsi"/>
          <w:sz w:val="20"/>
          <w:szCs w:val="20"/>
        </w:rPr>
        <w:t>pracowanie Pomorskie Biuro Planowania Regionalnego</w:t>
      </w:r>
    </w:p>
    <w:bookmarkEnd w:id="85"/>
    <w:bookmarkEnd w:id="86"/>
    <w:p w14:paraId="3CEF3DD1" w14:textId="6C9F8679" w:rsidR="000775DB" w:rsidRPr="007E08F7" w:rsidRDefault="000775DB" w:rsidP="00B32A7D">
      <w:pPr>
        <w:spacing w:before="360" w:after="120" w:line="288" w:lineRule="auto"/>
        <w:rPr>
          <w:rFonts w:asciiTheme="minorHAnsi" w:hAnsiTheme="minorHAnsi"/>
        </w:rPr>
      </w:pPr>
      <w:r w:rsidRPr="007E08F7">
        <w:rPr>
          <w:rFonts w:asciiTheme="minorHAnsi" w:hAnsiTheme="minorHAnsi"/>
        </w:rPr>
        <w:t xml:space="preserve">Model struktury funkcjonalno-przestrzennej województwa pomorskiego identyfikuje także inne typy obszarów, które charakteryzują się koncentracją określonych funkcji gospodarczych i uwarunkowań środowiskowo-przyrodniczych i osadniczych, tj. obszary wiejskie </w:t>
      </w:r>
      <w:r w:rsidRPr="007E08F7">
        <w:rPr>
          <w:rFonts w:asciiTheme="minorHAnsi" w:hAnsiTheme="minorHAnsi" w:cstheme="minorHAnsi"/>
          <w:spacing w:val="4"/>
        </w:rPr>
        <w:t xml:space="preserve">kluczowe dla bezpieczeństwa żywnościowego kraju i regionu oraz obszary </w:t>
      </w:r>
      <w:r w:rsidRPr="007E08F7">
        <w:rPr>
          <w:rFonts w:asciiTheme="minorHAnsi" w:hAnsiTheme="minorHAnsi" w:cstheme="minorHAnsi"/>
          <w:spacing w:val="4"/>
        </w:rPr>
        <w:lastRenderedPageBreak/>
        <w:t xml:space="preserve">wiejskie o dominującej funkcji leśnej. </w:t>
      </w:r>
      <w:r w:rsidRPr="007E08F7">
        <w:rPr>
          <w:rFonts w:asciiTheme="minorHAnsi" w:hAnsiTheme="minorHAnsi"/>
        </w:rPr>
        <w:t>Są one wewnętrznie zróżnicowane lub posiadają swoj</w:t>
      </w:r>
      <w:r w:rsidR="00584A42" w:rsidRPr="007E08F7">
        <w:rPr>
          <w:rFonts w:asciiTheme="minorHAnsi" w:hAnsiTheme="minorHAnsi"/>
        </w:rPr>
        <w:t>ą</w:t>
      </w:r>
      <w:r w:rsidRPr="007E08F7">
        <w:rPr>
          <w:rFonts w:asciiTheme="minorHAnsi" w:hAnsiTheme="minorHAnsi"/>
        </w:rPr>
        <w:t xml:space="preserve"> dodatkową specyfikę (np. wielkoobszarowe zagrożenia powodziowe na</w:t>
      </w:r>
      <w:r w:rsidR="00B32A7D" w:rsidRPr="007E08F7">
        <w:rPr>
          <w:rFonts w:asciiTheme="minorHAnsi" w:hAnsiTheme="minorHAnsi"/>
        </w:rPr>
        <w:t> </w:t>
      </w:r>
      <w:r w:rsidRPr="007E08F7">
        <w:rPr>
          <w:rFonts w:asciiTheme="minorHAnsi" w:hAnsiTheme="minorHAnsi"/>
        </w:rPr>
        <w:t>Żuławach), lecz ich główny profil gospodarczy oraz charakter procesów społecznych (depopulacja części z nich np. Powiśle i Pomorze Środkowe), czy też atrakcyjność turystyczna, znaczenie dla ochrony zasobów przyrody i krajobrazu, wymagają prowadzenia skoordynowanej, zintegrowanej i partnerskiej polityki rozwoju.</w:t>
      </w:r>
    </w:p>
    <w:p w14:paraId="41233CA3" w14:textId="3C0DAB05" w:rsidR="000775DB" w:rsidRPr="007E08F7" w:rsidRDefault="000775DB" w:rsidP="000775DB">
      <w:pPr>
        <w:spacing w:before="120" w:after="120" w:line="288" w:lineRule="auto"/>
        <w:rPr>
          <w:rFonts w:asciiTheme="minorHAnsi" w:hAnsiTheme="minorHAnsi"/>
        </w:rPr>
      </w:pPr>
      <w:bookmarkStart w:id="92" w:name="X591caa4e94809391dc1b56e9753f71da7d2fe4e"/>
      <w:r w:rsidRPr="007E08F7">
        <w:rPr>
          <w:rFonts w:asciiTheme="minorHAnsi" w:hAnsiTheme="minorHAnsi"/>
        </w:rPr>
        <w:t>Do obszarów o szczególnym znaczeniu dla rozwoju społeczno-gospodarczego regionu należą ponadregionalne i regionalne pasma rozwojowe, których potencjał związany jest z przebiegiem infrastruktury transportowej i energetycznej. Pasma rozwojowe</w:t>
      </w:r>
      <w:r w:rsidR="00584A42" w:rsidRPr="007E08F7">
        <w:rPr>
          <w:rFonts w:asciiTheme="minorHAnsi" w:hAnsiTheme="minorHAnsi"/>
        </w:rPr>
        <w:t>,</w:t>
      </w:r>
      <w:r w:rsidRPr="007E08F7">
        <w:rPr>
          <w:rFonts w:asciiTheme="minorHAnsi" w:hAnsiTheme="minorHAnsi"/>
        </w:rPr>
        <w:t xml:space="preserve"> z uwagi na ich dostępność transportową oraz możliwości zapewnienia dostępu do dużych mocy energii</w:t>
      </w:r>
      <w:r w:rsidR="00584A42" w:rsidRPr="007E08F7">
        <w:rPr>
          <w:rFonts w:asciiTheme="minorHAnsi" w:hAnsiTheme="minorHAnsi"/>
        </w:rPr>
        <w:t>,</w:t>
      </w:r>
      <w:r w:rsidRPr="007E08F7">
        <w:rPr>
          <w:rFonts w:asciiTheme="minorHAnsi" w:hAnsiTheme="minorHAnsi"/>
        </w:rPr>
        <w:t xml:space="preserve"> będą obszarami koncentracji procesów gospodarczych powiązanych m.in. ze</w:t>
      </w:r>
      <w:r w:rsidR="00B32A7D" w:rsidRPr="007E08F7">
        <w:rPr>
          <w:rFonts w:asciiTheme="minorHAnsi" w:hAnsiTheme="minorHAnsi"/>
        </w:rPr>
        <w:t> </w:t>
      </w:r>
      <w:r w:rsidRPr="007E08F7">
        <w:rPr>
          <w:rFonts w:asciiTheme="minorHAnsi" w:hAnsiTheme="minorHAnsi"/>
        </w:rPr>
        <w:t>strategicznymi inwestycjami gospodarczymi kraju (np. elektrownia jądrowa, morska energetyka wiatrowa) oraz funkcjonowania stref gospodarczych o profilu nowoczesnych technologii, przemysłów energochłonnych. Dobra dostępność tych obszarów do</w:t>
      </w:r>
      <w:r w:rsidR="00B32A7D" w:rsidRPr="007E08F7">
        <w:rPr>
          <w:rFonts w:asciiTheme="minorHAnsi" w:hAnsiTheme="minorHAnsi"/>
        </w:rPr>
        <w:t> </w:t>
      </w:r>
      <w:r w:rsidRPr="007E08F7">
        <w:rPr>
          <w:rFonts w:asciiTheme="minorHAnsi" w:hAnsiTheme="minorHAnsi"/>
        </w:rPr>
        <w:t>głównych ośrodków osadniczych regionu, będzie atutem wzmacniającym ich możliwości rozwojowe w powiązaniu z funkcjonowaniem sprawnego publicznego transportu zbiorowego. Pasma, łącząc główne ośrodki miejskie oraz najważniejsze węzły infrastruktury transportowej i logistycznej, wzmacniać będą powiązania funkcjonalne Pomorza z innymi regionami kraju i Europy. Ich rozwój sprzyjać będzie zwiększaniu dyfuzji procesów rozwojowych do poszczególnych części województwa.</w:t>
      </w:r>
    </w:p>
    <w:p w14:paraId="7FDA1E84" w14:textId="77777777" w:rsidR="000775DB" w:rsidRPr="007E08F7" w:rsidRDefault="000775DB" w:rsidP="002774ED">
      <w:pPr>
        <w:pStyle w:val="Nagwek2"/>
      </w:pPr>
      <w:bookmarkStart w:id="93" w:name="_Toc239772108"/>
      <w:bookmarkEnd w:id="92"/>
      <w:r w:rsidRPr="007E08F7">
        <w:t>Obszary szczególnego wsparcia w polityce regionalnej państwa</w:t>
      </w:r>
      <w:bookmarkEnd w:id="93"/>
    </w:p>
    <w:p w14:paraId="6DD19DF8" w14:textId="247944CB" w:rsidR="000775DB" w:rsidRPr="007E08F7" w:rsidRDefault="000775DB" w:rsidP="000775DB">
      <w:pPr>
        <w:spacing w:before="120" w:after="120" w:line="288" w:lineRule="auto"/>
        <w:rPr>
          <w:rFonts w:asciiTheme="minorHAnsi" w:hAnsiTheme="minorHAnsi"/>
        </w:rPr>
      </w:pPr>
      <w:r w:rsidRPr="007E08F7">
        <w:rPr>
          <w:rFonts w:asciiTheme="minorHAnsi" w:hAnsiTheme="minorHAnsi"/>
        </w:rPr>
        <w:t>Uzupełnieniem wymiaru terytorialnego Strategii jest krajowy wymiar polityki regionalnej, w tym obszary wymagające szczególnego wsparcia w polityce regionalnej państwa. Na</w:t>
      </w:r>
      <w:r w:rsidR="000E598F" w:rsidRPr="007E08F7">
        <w:rPr>
          <w:rFonts w:asciiTheme="minorHAnsi" w:hAnsiTheme="minorHAnsi"/>
        </w:rPr>
        <w:t> </w:t>
      </w:r>
      <w:r w:rsidRPr="007E08F7">
        <w:rPr>
          <w:rFonts w:asciiTheme="minorHAnsi" w:hAnsiTheme="minorHAnsi"/>
        </w:rPr>
        <w:t>terenie województwa pomorskiego zidentyfikowano cztery typy obszarów, do których powinna być skierowana szczególna interwencja państwa w związku z występującymi tam barierami lub potencjałami rozwojowymi:</w:t>
      </w:r>
    </w:p>
    <w:p w14:paraId="1DA62237" w14:textId="5899A550" w:rsidR="000775DB" w:rsidRPr="007E08F7" w:rsidRDefault="00B32A7D" w:rsidP="00B32A7D">
      <w:pPr>
        <w:pStyle w:val="Nagwek3"/>
        <w:ind w:left="426" w:hanging="284"/>
      </w:pPr>
      <w:bookmarkStart w:id="94" w:name="_Toc239772109"/>
      <w:r w:rsidRPr="007E08F7">
        <w:t xml:space="preserve">1. </w:t>
      </w:r>
      <w:r w:rsidR="000775DB" w:rsidRPr="007E08F7">
        <w:t>Obszar rozwoju energetyki jądrowej i morskiej energetyki wiatrowej</w:t>
      </w:r>
      <w:bookmarkEnd w:id="94"/>
    </w:p>
    <w:p w14:paraId="097B59D9" w14:textId="65C5A5D8" w:rsidR="000775DB" w:rsidRPr="007E08F7" w:rsidRDefault="000775DB" w:rsidP="000775DB">
      <w:pPr>
        <w:spacing w:before="120" w:after="120" w:line="288" w:lineRule="auto"/>
        <w:rPr>
          <w:rFonts w:asciiTheme="minorHAnsi" w:hAnsiTheme="minorHAnsi"/>
        </w:rPr>
      </w:pPr>
      <w:r w:rsidRPr="007E08F7">
        <w:rPr>
          <w:rFonts w:asciiTheme="minorHAnsi" w:hAnsiTheme="minorHAnsi"/>
        </w:rPr>
        <w:t>W wyniku dużych inwestycji energetycznych województwo pomorskie docelowo stanie się regionem nadmiaru mocy, co będzie miało bezpośredni wpływ na zmianę struktury przestrzennej produkcji energii w kraju i możliwości jej wykorzystania regionie. Rodzi to wyzwania związane z możliwościami zwiększenia potencjału gospodarczego w bezpośrednim sąsiedztwie źródeł energii. Obszar ten wymaga budowy kompleksowego planu rozwoju, obejmującego interwencję krajową i regionalną, pod kątem jej komplementarności, ale również koordynacji działań w układzie ponadlokalnym</w:t>
      </w:r>
      <w:r w:rsidR="000F30EA" w:rsidRPr="007E08F7">
        <w:rPr>
          <w:rFonts w:asciiTheme="minorHAnsi" w:hAnsiTheme="minorHAnsi"/>
        </w:rPr>
        <w:t>.</w:t>
      </w:r>
      <w:r w:rsidRPr="007E08F7">
        <w:rPr>
          <w:rFonts w:asciiTheme="minorHAnsi" w:hAnsiTheme="minorHAnsi"/>
        </w:rPr>
        <w:t xml:space="preserve"> </w:t>
      </w:r>
      <w:r w:rsidR="000F30EA" w:rsidRPr="007E08F7">
        <w:rPr>
          <w:rFonts w:asciiTheme="minorHAnsi" w:hAnsiTheme="minorHAnsi"/>
        </w:rPr>
        <w:lastRenderedPageBreak/>
        <w:t>Z</w:t>
      </w:r>
      <w:r w:rsidRPr="007E08F7">
        <w:rPr>
          <w:rFonts w:asciiTheme="minorHAnsi" w:hAnsiTheme="minorHAnsi"/>
        </w:rPr>
        <w:t xml:space="preserve">wiązany </w:t>
      </w:r>
      <w:r w:rsidR="000F30EA" w:rsidRPr="007E08F7">
        <w:rPr>
          <w:rFonts w:asciiTheme="minorHAnsi" w:hAnsiTheme="minorHAnsi"/>
        </w:rPr>
        <w:t xml:space="preserve">jest </w:t>
      </w:r>
      <w:r w:rsidRPr="007E08F7">
        <w:rPr>
          <w:rFonts w:asciiTheme="minorHAnsi" w:hAnsiTheme="minorHAnsi"/>
        </w:rPr>
        <w:t>ze znaczną koncentracją inwestycji towarzyszących budowie elektrowni jądrowej i rozwojowi morskiej energetyki wiatrowej, a także inwestycjami generowanymi zarówno przez inne podmioty publiczne, jak również sektor prywatny, w tym podmioty gospodarcze.</w:t>
      </w:r>
    </w:p>
    <w:p w14:paraId="5C328058"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Kluczowa interwencja:</w:t>
      </w:r>
    </w:p>
    <w:p w14:paraId="187297BF" w14:textId="77777777" w:rsidR="000775DB" w:rsidRPr="007E08F7" w:rsidRDefault="000775DB">
      <w:pPr>
        <w:pStyle w:val="Akapitzlist"/>
        <w:numPr>
          <w:ilvl w:val="0"/>
          <w:numId w:val="45"/>
        </w:numPr>
        <w:spacing w:before="120" w:after="120" w:line="288" w:lineRule="auto"/>
        <w:contextualSpacing w:val="0"/>
        <w:rPr>
          <w:rFonts w:asciiTheme="minorHAnsi" w:hAnsiTheme="minorHAnsi"/>
        </w:rPr>
      </w:pPr>
      <w:r w:rsidRPr="007E08F7">
        <w:rPr>
          <w:rFonts w:asciiTheme="minorHAnsi" w:hAnsiTheme="minorHAnsi"/>
        </w:rPr>
        <w:t>infrastruktura transportowa i mobilność regionalna, w tym adaptacja dróg, wyprowadzenie ruchu z obszarów zurbanizowanych, likwidacja strategicznych luk transportowych;</w:t>
      </w:r>
    </w:p>
    <w:p w14:paraId="7F3443D0" w14:textId="77777777" w:rsidR="000775DB" w:rsidRPr="007E08F7" w:rsidRDefault="000775DB">
      <w:pPr>
        <w:pStyle w:val="Akapitzlist"/>
        <w:numPr>
          <w:ilvl w:val="0"/>
          <w:numId w:val="45"/>
        </w:numPr>
        <w:spacing w:before="120" w:after="120" w:line="288" w:lineRule="auto"/>
        <w:contextualSpacing w:val="0"/>
        <w:rPr>
          <w:rFonts w:asciiTheme="minorHAnsi" w:hAnsiTheme="minorHAnsi"/>
        </w:rPr>
      </w:pPr>
      <w:r w:rsidRPr="007E08F7">
        <w:rPr>
          <w:rFonts w:asciiTheme="minorHAnsi" w:hAnsiTheme="minorHAnsi"/>
        </w:rPr>
        <w:t>bezpieczeństwo zdrowotne i odporność, w tym rozbudowa regionalnej infrastruktury ochrony zdrowia, rozwój infrastruktury podwójnego zastosowania;</w:t>
      </w:r>
    </w:p>
    <w:p w14:paraId="131A8311" w14:textId="77777777" w:rsidR="000775DB" w:rsidRPr="007E08F7" w:rsidRDefault="000775DB">
      <w:pPr>
        <w:pStyle w:val="Akapitzlist"/>
        <w:numPr>
          <w:ilvl w:val="0"/>
          <w:numId w:val="45"/>
        </w:numPr>
        <w:spacing w:before="120" w:after="120" w:line="288" w:lineRule="auto"/>
        <w:contextualSpacing w:val="0"/>
        <w:rPr>
          <w:rFonts w:asciiTheme="minorHAnsi" w:hAnsiTheme="minorHAnsi"/>
        </w:rPr>
      </w:pPr>
      <w:r w:rsidRPr="007E08F7">
        <w:rPr>
          <w:rFonts w:asciiTheme="minorHAnsi" w:hAnsiTheme="minorHAnsi"/>
        </w:rPr>
        <w:t xml:space="preserve">gospodarka, </w:t>
      </w:r>
      <w:proofErr w:type="spellStart"/>
      <w:r w:rsidRPr="007E08F7">
        <w:rPr>
          <w:rFonts w:asciiTheme="minorHAnsi" w:hAnsiTheme="minorHAnsi"/>
        </w:rPr>
        <w:t>local</w:t>
      </w:r>
      <w:proofErr w:type="spellEnd"/>
      <w:r w:rsidRPr="007E08F7">
        <w:rPr>
          <w:rFonts w:asciiTheme="minorHAnsi" w:hAnsiTheme="minorHAnsi"/>
        </w:rPr>
        <w:t xml:space="preserve"> </w:t>
      </w:r>
      <w:proofErr w:type="spellStart"/>
      <w:r w:rsidRPr="007E08F7">
        <w:rPr>
          <w:rFonts w:asciiTheme="minorHAnsi" w:hAnsiTheme="minorHAnsi"/>
        </w:rPr>
        <w:t>content</w:t>
      </w:r>
      <w:proofErr w:type="spellEnd"/>
      <w:r w:rsidRPr="007E08F7">
        <w:rPr>
          <w:rFonts w:asciiTheme="minorHAnsi" w:hAnsiTheme="minorHAnsi"/>
        </w:rPr>
        <w:t xml:space="preserve"> i rynek pracy, w tym rozwój instrumentów wsparcia gospodarczego, rozwój potencjału eksportowego, edukacja i rozwój B+R;</w:t>
      </w:r>
    </w:p>
    <w:p w14:paraId="7B22EA6E" w14:textId="77777777" w:rsidR="000775DB" w:rsidRPr="007E08F7" w:rsidRDefault="000775DB">
      <w:pPr>
        <w:pStyle w:val="Akapitzlist"/>
        <w:numPr>
          <w:ilvl w:val="0"/>
          <w:numId w:val="45"/>
        </w:numPr>
        <w:spacing w:before="120" w:after="120" w:line="288" w:lineRule="auto"/>
        <w:contextualSpacing w:val="0"/>
        <w:rPr>
          <w:rFonts w:asciiTheme="minorHAnsi" w:hAnsiTheme="minorHAnsi"/>
        </w:rPr>
      </w:pPr>
      <w:r w:rsidRPr="007E08F7">
        <w:rPr>
          <w:rFonts w:asciiTheme="minorHAnsi" w:hAnsiTheme="minorHAnsi"/>
        </w:rPr>
        <w:t>turystyka i rekreacja, w tym rozwój stref turystycznych;</w:t>
      </w:r>
    </w:p>
    <w:p w14:paraId="05887434" w14:textId="77777777" w:rsidR="000775DB" w:rsidRPr="007E08F7" w:rsidRDefault="000775DB">
      <w:pPr>
        <w:pStyle w:val="Akapitzlist"/>
        <w:numPr>
          <w:ilvl w:val="0"/>
          <w:numId w:val="45"/>
        </w:numPr>
        <w:spacing w:before="120" w:after="120" w:line="288" w:lineRule="auto"/>
        <w:contextualSpacing w:val="0"/>
        <w:rPr>
          <w:rFonts w:asciiTheme="minorHAnsi" w:hAnsiTheme="minorHAnsi"/>
        </w:rPr>
      </w:pPr>
      <w:r w:rsidRPr="007E08F7">
        <w:rPr>
          <w:rFonts w:asciiTheme="minorHAnsi" w:hAnsiTheme="minorHAnsi"/>
        </w:rPr>
        <w:t>usługi publiczne i warunki życia, w tym wsparcie podstawowych i specjalistycznych usług zdrowotnych, zarządzanie kryzysowe, budowanie świadomości społecznej, modernizacja infrastruktury ochrony środowiska oraz zapewnienie ciągłości działania lokalnych przedsiębiorców.</w:t>
      </w:r>
    </w:p>
    <w:p w14:paraId="5EDE9447" w14:textId="1A6DF20F" w:rsidR="000775DB" w:rsidRPr="007E08F7" w:rsidRDefault="00B32A7D" w:rsidP="00B32A7D">
      <w:pPr>
        <w:pStyle w:val="Nagwek3"/>
        <w:ind w:left="426" w:hanging="284"/>
      </w:pPr>
      <w:bookmarkStart w:id="95" w:name="_Toc239772110"/>
      <w:r w:rsidRPr="007E08F7">
        <w:t xml:space="preserve">2. </w:t>
      </w:r>
      <w:r w:rsidR="000775DB" w:rsidRPr="007E08F7">
        <w:t>Obszar odporności i rozwoju obszarów przy zewnętrznej granicy UE</w:t>
      </w:r>
      <w:bookmarkEnd w:id="95"/>
    </w:p>
    <w:p w14:paraId="1BEB5A23" w14:textId="78858839" w:rsidR="000775DB" w:rsidRPr="007E08F7" w:rsidRDefault="000775DB" w:rsidP="000775DB">
      <w:pPr>
        <w:spacing w:before="120" w:after="120" w:line="288" w:lineRule="auto"/>
        <w:rPr>
          <w:rFonts w:asciiTheme="minorHAnsi" w:hAnsiTheme="minorHAnsi"/>
        </w:rPr>
      </w:pPr>
      <w:r w:rsidRPr="007E08F7">
        <w:rPr>
          <w:rFonts w:asciiTheme="minorHAnsi" w:hAnsiTheme="minorHAnsi" w:cstheme="minorHAnsi"/>
        </w:rPr>
        <w:t>Trudna sytuacja, wynikająca z bezpośredniej granicy z Federacją Rosyjską, a</w:t>
      </w:r>
      <w:r w:rsidR="006F35A5" w:rsidRPr="007E08F7">
        <w:rPr>
          <w:rFonts w:asciiTheme="minorHAnsi" w:hAnsiTheme="minorHAnsi" w:cstheme="minorHAnsi"/>
        </w:rPr>
        <w:t> </w:t>
      </w:r>
      <w:r w:rsidRPr="007E08F7">
        <w:rPr>
          <w:rFonts w:asciiTheme="minorHAnsi" w:hAnsiTheme="minorHAnsi" w:cstheme="minorHAnsi"/>
        </w:rPr>
        <w:t>w</w:t>
      </w:r>
      <w:r w:rsidR="006F35A5" w:rsidRPr="007E08F7">
        <w:rPr>
          <w:rFonts w:asciiTheme="minorHAnsi" w:hAnsiTheme="minorHAnsi" w:cstheme="minorHAnsi"/>
        </w:rPr>
        <w:t> </w:t>
      </w:r>
      <w:r w:rsidRPr="007E08F7">
        <w:rPr>
          <w:rFonts w:asciiTheme="minorHAnsi" w:hAnsiTheme="minorHAnsi" w:cstheme="minorHAnsi"/>
        </w:rPr>
        <w:t xml:space="preserve">szczególności z sąsiedztwa silnie zmilitaryzowanego Obwodu Królewieckiego, stwarza szereg zagrożeń dla bezpieczeństwa Pomorza, destabilizując i osłabiając możliwości rozwoju społecznego i gospodarczego całego województwa. </w:t>
      </w:r>
      <w:r w:rsidRPr="007E08F7">
        <w:rPr>
          <w:rFonts w:asciiTheme="minorHAnsi" w:hAnsiTheme="minorHAnsi"/>
        </w:rPr>
        <w:t>Linia podstawowa morza, wyznaczająca granice administracyjne województwa pomorskiego charakteryzuje się wyzwaniami związanymi z granicą morską funkcjonalną, która sprawia, że niezbędna jest ochrona infrastruktury krytycznej, w tym portowej i</w:t>
      </w:r>
      <w:r w:rsidR="006F35A5" w:rsidRPr="007E08F7">
        <w:rPr>
          <w:rFonts w:asciiTheme="minorHAnsi" w:hAnsiTheme="minorHAnsi"/>
        </w:rPr>
        <w:t> </w:t>
      </w:r>
      <w:r w:rsidRPr="007E08F7">
        <w:rPr>
          <w:rFonts w:asciiTheme="minorHAnsi" w:hAnsiTheme="minorHAnsi"/>
        </w:rPr>
        <w:t>energetycznej, umiejętność reagowania na zagrożenia oraz ochrona mieszkańców.</w:t>
      </w:r>
    </w:p>
    <w:p w14:paraId="2EEDAB3C"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Kluczowa interwencja:</w:t>
      </w:r>
    </w:p>
    <w:p w14:paraId="6ECEF150" w14:textId="77777777" w:rsidR="000775DB" w:rsidRPr="007E08F7" w:rsidRDefault="000775DB">
      <w:pPr>
        <w:pStyle w:val="Akapitzlist"/>
        <w:numPr>
          <w:ilvl w:val="0"/>
          <w:numId w:val="46"/>
        </w:numPr>
        <w:spacing w:before="120" w:after="120" w:line="288" w:lineRule="auto"/>
        <w:contextualSpacing w:val="0"/>
        <w:rPr>
          <w:rFonts w:asciiTheme="minorHAnsi" w:hAnsiTheme="minorHAnsi"/>
        </w:rPr>
      </w:pPr>
      <w:r w:rsidRPr="007E08F7">
        <w:rPr>
          <w:rFonts w:asciiTheme="minorHAnsi" w:hAnsiTheme="minorHAnsi"/>
        </w:rPr>
        <w:t>transformacja energetyczna i wzmocnienie bezpieczeństwa energetycznego, w tym rozwój magazynów energii, OZE, poprawa efektywności energetycznej;</w:t>
      </w:r>
    </w:p>
    <w:p w14:paraId="140C8612" w14:textId="77777777" w:rsidR="000775DB" w:rsidRPr="007E08F7" w:rsidRDefault="000775DB">
      <w:pPr>
        <w:pStyle w:val="Akapitzlist"/>
        <w:numPr>
          <w:ilvl w:val="0"/>
          <w:numId w:val="46"/>
        </w:numPr>
        <w:spacing w:before="120" w:after="120" w:line="288" w:lineRule="auto"/>
        <w:contextualSpacing w:val="0"/>
        <w:rPr>
          <w:rFonts w:asciiTheme="minorHAnsi" w:hAnsiTheme="minorHAnsi"/>
        </w:rPr>
      </w:pPr>
      <w:r w:rsidRPr="007E08F7">
        <w:rPr>
          <w:rFonts w:asciiTheme="minorHAnsi" w:hAnsiTheme="minorHAnsi"/>
        </w:rPr>
        <w:t>konkurencyjność gospodarcza, w tym wsparcie przedsiębiorstw;</w:t>
      </w:r>
    </w:p>
    <w:p w14:paraId="3F802BB1" w14:textId="77777777" w:rsidR="000775DB" w:rsidRPr="007E08F7" w:rsidRDefault="000775DB">
      <w:pPr>
        <w:pStyle w:val="Akapitzlist"/>
        <w:numPr>
          <w:ilvl w:val="0"/>
          <w:numId w:val="46"/>
        </w:numPr>
        <w:spacing w:before="120" w:after="120" w:line="288" w:lineRule="auto"/>
        <w:contextualSpacing w:val="0"/>
        <w:rPr>
          <w:rFonts w:asciiTheme="minorHAnsi" w:hAnsiTheme="minorHAnsi"/>
        </w:rPr>
      </w:pPr>
      <w:r w:rsidRPr="007E08F7">
        <w:rPr>
          <w:rFonts w:asciiTheme="minorHAnsi" w:hAnsiTheme="minorHAnsi"/>
        </w:rPr>
        <w:t>bezpieczeństwo i odporność, w tym zarządzanie kryzysowe, budowa gotowości cywilnej, ochrona ludności;</w:t>
      </w:r>
    </w:p>
    <w:p w14:paraId="33190642" w14:textId="77777777" w:rsidR="000775DB" w:rsidRPr="007E08F7" w:rsidRDefault="000775DB">
      <w:pPr>
        <w:pStyle w:val="Akapitzlist"/>
        <w:numPr>
          <w:ilvl w:val="0"/>
          <w:numId w:val="46"/>
        </w:numPr>
        <w:spacing w:before="120" w:after="120" w:line="288" w:lineRule="auto"/>
        <w:contextualSpacing w:val="0"/>
        <w:rPr>
          <w:rFonts w:asciiTheme="minorHAnsi" w:hAnsiTheme="minorHAnsi"/>
        </w:rPr>
      </w:pPr>
      <w:r w:rsidRPr="007E08F7">
        <w:rPr>
          <w:rFonts w:asciiTheme="minorHAnsi" w:hAnsiTheme="minorHAnsi"/>
        </w:rPr>
        <w:lastRenderedPageBreak/>
        <w:t xml:space="preserve">cyfryzacja i </w:t>
      </w:r>
      <w:proofErr w:type="spellStart"/>
      <w:r w:rsidRPr="007E08F7">
        <w:rPr>
          <w:rFonts w:asciiTheme="minorHAnsi" w:hAnsiTheme="minorHAnsi"/>
        </w:rPr>
        <w:t>cyberbezpieczeństwo</w:t>
      </w:r>
      <w:proofErr w:type="spellEnd"/>
      <w:r w:rsidRPr="007E08F7">
        <w:rPr>
          <w:rFonts w:asciiTheme="minorHAnsi" w:hAnsiTheme="minorHAnsi"/>
        </w:rPr>
        <w:t>, w tym rozwój e-usług, transformacja cyfrowa przedsiębiorstw, rozwój kompetencji cyfrowych;</w:t>
      </w:r>
    </w:p>
    <w:p w14:paraId="6211ED76" w14:textId="77777777" w:rsidR="000775DB" w:rsidRPr="007E08F7" w:rsidRDefault="000775DB">
      <w:pPr>
        <w:pStyle w:val="Akapitzlist"/>
        <w:numPr>
          <w:ilvl w:val="0"/>
          <w:numId w:val="46"/>
        </w:numPr>
        <w:spacing w:before="120" w:after="120" w:line="288" w:lineRule="auto"/>
        <w:contextualSpacing w:val="0"/>
        <w:rPr>
          <w:rFonts w:asciiTheme="minorHAnsi" w:hAnsiTheme="minorHAnsi"/>
        </w:rPr>
      </w:pPr>
      <w:r w:rsidRPr="007E08F7">
        <w:rPr>
          <w:rFonts w:asciiTheme="minorHAnsi" w:hAnsiTheme="minorHAnsi"/>
        </w:rPr>
        <w:t>transport i mobilność, w tym poprawa dostępności transportowej, bezpieczeństwo drogowe i kolejowe, mobilność wojskowa;</w:t>
      </w:r>
    </w:p>
    <w:p w14:paraId="64CFBFC0" w14:textId="6A784EEB" w:rsidR="000775DB" w:rsidRPr="007E08F7" w:rsidRDefault="000775DB">
      <w:pPr>
        <w:pStyle w:val="Akapitzlist"/>
        <w:numPr>
          <w:ilvl w:val="0"/>
          <w:numId w:val="46"/>
        </w:numPr>
        <w:spacing w:before="120" w:after="120" w:line="288" w:lineRule="auto"/>
        <w:contextualSpacing w:val="0"/>
        <w:rPr>
          <w:rFonts w:asciiTheme="minorHAnsi" w:hAnsiTheme="minorHAnsi"/>
        </w:rPr>
      </w:pPr>
      <w:r w:rsidRPr="007E08F7">
        <w:rPr>
          <w:rFonts w:asciiTheme="minorHAnsi" w:hAnsiTheme="minorHAnsi"/>
        </w:rPr>
        <w:t>ochrona środowiska i zmiany klimatu, w tym infrastruktura środowiska, ochrona przyrody, adaptacja do zmian klimatu;</w:t>
      </w:r>
    </w:p>
    <w:p w14:paraId="10FC1A92" w14:textId="77777777" w:rsidR="000775DB" w:rsidRPr="007E08F7" w:rsidRDefault="000775DB">
      <w:pPr>
        <w:pStyle w:val="Akapitzlist"/>
        <w:numPr>
          <w:ilvl w:val="0"/>
          <w:numId w:val="46"/>
        </w:numPr>
        <w:spacing w:before="120" w:after="120" w:line="288" w:lineRule="auto"/>
        <w:contextualSpacing w:val="0"/>
        <w:rPr>
          <w:rFonts w:asciiTheme="minorHAnsi" w:hAnsiTheme="minorHAnsi"/>
        </w:rPr>
      </w:pPr>
      <w:r w:rsidRPr="007E08F7">
        <w:rPr>
          <w:rFonts w:asciiTheme="minorHAnsi" w:hAnsiTheme="minorHAnsi"/>
        </w:rPr>
        <w:t>turystyka i jakość życia, w tym rozwój oferty turystycznej i kulturowej, wsparcie lokalnych inicjatyw społecznych i kulturalnych.</w:t>
      </w:r>
    </w:p>
    <w:p w14:paraId="32940325" w14:textId="1573E7D0" w:rsidR="000775DB" w:rsidRPr="007E08F7" w:rsidRDefault="00B32A7D" w:rsidP="00B32A7D">
      <w:pPr>
        <w:pStyle w:val="Nagwek3"/>
        <w:ind w:left="426" w:hanging="284"/>
      </w:pPr>
      <w:bookmarkStart w:id="96" w:name="_Toc239772111"/>
      <w:r w:rsidRPr="007E08F7">
        <w:t xml:space="preserve">3. </w:t>
      </w:r>
      <w:r w:rsidR="000775DB" w:rsidRPr="007E08F7">
        <w:t>Obszar wsparcia dla policentrycznej sieci miast i ich obszarów funkcjonalnych</w:t>
      </w:r>
      <w:bookmarkEnd w:id="96"/>
    </w:p>
    <w:p w14:paraId="73496D71" w14:textId="19A58444" w:rsidR="000775DB" w:rsidRPr="007E08F7" w:rsidRDefault="000775DB" w:rsidP="000775DB">
      <w:pPr>
        <w:spacing w:before="120" w:after="120" w:line="288" w:lineRule="auto"/>
        <w:rPr>
          <w:rFonts w:asciiTheme="minorHAnsi" w:hAnsiTheme="minorHAnsi"/>
        </w:rPr>
      </w:pPr>
      <w:r w:rsidRPr="007E08F7">
        <w:rPr>
          <w:rFonts w:asciiTheme="minorHAnsi" w:hAnsiTheme="minorHAnsi"/>
        </w:rPr>
        <w:t>Następuje wzmocnienie podejścia polityki regionalnej państwa na koncepcji partej na wieloośrodkowym rozwoju kraju. Konieczne jest utrzymanie równomiernego rozwoju Polski, opartego na równomiernie rozłożonej sieci miast o zróżnicowanej wielkości i</w:t>
      </w:r>
      <w:r w:rsidR="006F35A5" w:rsidRPr="007E08F7">
        <w:rPr>
          <w:rFonts w:asciiTheme="minorHAnsi" w:hAnsiTheme="minorHAnsi"/>
        </w:rPr>
        <w:t> </w:t>
      </w:r>
      <w:r w:rsidRPr="007E08F7">
        <w:rPr>
          <w:rFonts w:asciiTheme="minorHAnsi" w:hAnsiTheme="minorHAnsi"/>
        </w:rPr>
        <w:t>funkcjach. Polityka regionalna prowadzona zgodnie z zasadą pomocniczości, zakłada ścisłą współpracę władz centralnych z jednostkami samorządu terytorialnego. Interwencja dla miast i ich obszarów funkcjonalnych realizowana będzie zgodnie z</w:t>
      </w:r>
      <w:r w:rsidR="006F35A5" w:rsidRPr="007E08F7">
        <w:rPr>
          <w:rFonts w:asciiTheme="minorHAnsi" w:hAnsiTheme="minorHAnsi"/>
        </w:rPr>
        <w:t> </w:t>
      </w:r>
      <w:r w:rsidRPr="007E08F7">
        <w:rPr>
          <w:rFonts w:asciiTheme="minorHAnsi" w:hAnsiTheme="minorHAnsi"/>
        </w:rPr>
        <w:t xml:space="preserve">zasadą indywidualizacji wsparcia uwzględniającą zróżnicowanie miast pod względem wypełniania przez nie funkcji metropolitalnych, </w:t>
      </w:r>
      <w:proofErr w:type="spellStart"/>
      <w:r w:rsidRPr="007E08F7">
        <w:rPr>
          <w:rFonts w:asciiTheme="minorHAnsi" w:hAnsiTheme="minorHAnsi"/>
        </w:rPr>
        <w:t>subregionalnych</w:t>
      </w:r>
      <w:proofErr w:type="spellEnd"/>
      <w:r w:rsidRPr="007E08F7">
        <w:rPr>
          <w:rFonts w:asciiTheme="minorHAnsi" w:hAnsiTheme="minorHAnsi"/>
        </w:rPr>
        <w:t xml:space="preserve"> i regionalnych. </w:t>
      </w:r>
    </w:p>
    <w:p w14:paraId="62F8816F"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Kluczowa interwencja:</w:t>
      </w:r>
    </w:p>
    <w:p w14:paraId="728A630D" w14:textId="2A742513" w:rsidR="000775DB" w:rsidRPr="007E08F7" w:rsidRDefault="000775DB">
      <w:pPr>
        <w:pStyle w:val="Akapitzlist"/>
        <w:numPr>
          <w:ilvl w:val="0"/>
          <w:numId w:val="47"/>
        </w:numPr>
        <w:spacing w:before="120" w:after="120" w:line="288" w:lineRule="auto"/>
        <w:contextualSpacing w:val="0"/>
        <w:rPr>
          <w:rFonts w:asciiTheme="minorHAnsi" w:hAnsiTheme="minorHAnsi"/>
        </w:rPr>
      </w:pPr>
      <w:r w:rsidRPr="007E08F7">
        <w:rPr>
          <w:rFonts w:asciiTheme="minorHAnsi" w:hAnsiTheme="minorHAnsi"/>
        </w:rPr>
        <w:t>ośrodek ponadregionalny Trójmiasto (Gdańsk, Gdynia i Sopot) – wzmacnianie roli aglomeracyjnej w przestrzeni europejskiej, w tym powiązań gospodarczych, kulturalnych i naukowych, rozwój funkcji gospodarczych portów morskich w</w:t>
      </w:r>
      <w:r w:rsidR="006F35A5" w:rsidRPr="007E08F7">
        <w:rPr>
          <w:rFonts w:asciiTheme="minorHAnsi" w:hAnsiTheme="minorHAnsi"/>
        </w:rPr>
        <w:t> </w:t>
      </w:r>
      <w:r w:rsidRPr="007E08F7">
        <w:rPr>
          <w:rFonts w:asciiTheme="minorHAnsi" w:hAnsiTheme="minorHAnsi"/>
        </w:rPr>
        <w:t>Gdańsku i Gdyni, rozwój transportu drogowego, kolejowego i lotniczego, rozwój oferty edukacyjnej;</w:t>
      </w:r>
    </w:p>
    <w:p w14:paraId="4206E0DC" w14:textId="77777777" w:rsidR="000775DB" w:rsidRPr="007E08F7" w:rsidRDefault="000775DB">
      <w:pPr>
        <w:pStyle w:val="Akapitzlist"/>
        <w:numPr>
          <w:ilvl w:val="0"/>
          <w:numId w:val="47"/>
        </w:numPr>
        <w:spacing w:before="120" w:after="120" w:line="288" w:lineRule="auto"/>
        <w:contextualSpacing w:val="0"/>
        <w:rPr>
          <w:rFonts w:asciiTheme="minorHAnsi" w:hAnsiTheme="minorHAnsi"/>
        </w:rPr>
      </w:pPr>
      <w:r w:rsidRPr="007E08F7">
        <w:rPr>
          <w:rFonts w:asciiTheme="minorHAnsi" w:hAnsiTheme="minorHAnsi"/>
        </w:rPr>
        <w:t>ośrodek regionalny Słupsk – poprawa dostępności kolejowej i drogowej, rozwój oferty edukacyjnej i kulturalnej oraz powiązań funkcjonalnych Słupsk-Ustka;</w:t>
      </w:r>
    </w:p>
    <w:p w14:paraId="1CED2A92" w14:textId="77777777" w:rsidR="000775DB" w:rsidRPr="007E08F7" w:rsidRDefault="000775DB">
      <w:pPr>
        <w:pStyle w:val="Akapitzlist"/>
        <w:numPr>
          <w:ilvl w:val="0"/>
          <w:numId w:val="47"/>
        </w:numPr>
        <w:spacing w:before="120" w:after="120" w:line="288" w:lineRule="auto"/>
        <w:contextualSpacing w:val="0"/>
        <w:rPr>
          <w:rFonts w:asciiTheme="minorHAnsi" w:hAnsiTheme="minorHAnsi"/>
        </w:rPr>
      </w:pPr>
      <w:r w:rsidRPr="007E08F7">
        <w:rPr>
          <w:rFonts w:asciiTheme="minorHAnsi" w:hAnsiTheme="minorHAnsi"/>
        </w:rPr>
        <w:t xml:space="preserve">potencjalny ośrodek regionalny Chojnice w ramach rozwijającego się układu bipolarnego z Człuchowem oraz ośrodki </w:t>
      </w:r>
      <w:proofErr w:type="spellStart"/>
      <w:r w:rsidRPr="007E08F7">
        <w:rPr>
          <w:rFonts w:asciiTheme="minorHAnsi" w:hAnsiTheme="minorHAnsi"/>
        </w:rPr>
        <w:t>subregionalne</w:t>
      </w:r>
      <w:proofErr w:type="spellEnd"/>
      <w:r w:rsidRPr="007E08F7">
        <w:rPr>
          <w:rFonts w:asciiTheme="minorHAnsi" w:hAnsiTheme="minorHAnsi"/>
        </w:rPr>
        <w:t xml:space="preserve"> wzmacniające strukturę policentryczną, tj. Bytów, Kościerzyna, Kwidzyn, Lębork, Malbork i Starogard Gdański wraz z ich otoczeniem funkcjonalnym – rozwój publicznego transportu zbiorowego, mobilność aktywna, adaptacja do zmian klimatu, wsparcie tworzenia zintegrowanej polityki demograficznej, opartej m.in. na polityce migracyjnej. </w:t>
      </w:r>
    </w:p>
    <w:p w14:paraId="5186E3ED" w14:textId="43483AA1" w:rsidR="000775DB" w:rsidRPr="007E08F7" w:rsidRDefault="00B32A7D" w:rsidP="00B32A7D">
      <w:pPr>
        <w:pStyle w:val="Nagwek3"/>
        <w:ind w:left="426" w:hanging="284"/>
      </w:pPr>
      <w:bookmarkStart w:id="97" w:name="_Toc239772112"/>
      <w:r w:rsidRPr="007E08F7">
        <w:lastRenderedPageBreak/>
        <w:t xml:space="preserve">4. </w:t>
      </w:r>
      <w:r w:rsidR="000775DB" w:rsidRPr="007E08F7">
        <w:t>Obszary wymagające większego włączenia w procesy rozwojowe</w:t>
      </w:r>
      <w:bookmarkEnd w:id="97"/>
    </w:p>
    <w:p w14:paraId="29B75DEC" w14:textId="6225D8EF" w:rsidR="000775DB" w:rsidRPr="007E08F7" w:rsidRDefault="000775DB" w:rsidP="00B32A7D">
      <w:pPr>
        <w:widowControl w:val="0"/>
        <w:suppressAutoHyphens/>
        <w:spacing w:before="120" w:after="120" w:line="288" w:lineRule="auto"/>
        <w:rPr>
          <w:rFonts w:asciiTheme="minorHAnsi" w:hAnsiTheme="minorHAnsi" w:cs="Arial"/>
        </w:rPr>
      </w:pPr>
      <w:r w:rsidRPr="007E08F7">
        <w:rPr>
          <w:rFonts w:asciiTheme="minorHAnsi" w:hAnsiTheme="minorHAnsi"/>
        </w:rPr>
        <w:t xml:space="preserve">Obszary te charakteryzują się niekorzystnymi zmianami struktury demograficznej, ograniczoną dostępnością do usług publicznych oraz osłabionymi powiązaniami funkcjonalnymi z głównymi ośrodkami wzrostu regionu. </w:t>
      </w:r>
      <w:r w:rsidRPr="007E08F7">
        <w:rPr>
          <w:rFonts w:asciiTheme="minorHAnsi" w:hAnsiTheme="minorHAnsi" w:cstheme="minorHAnsi"/>
        </w:rPr>
        <w:t>Interwencja publiczna skupi się, z jednej strony, na przeciwdziałaniu niekorzystnym zmianom struktury demograficznej na obszarach szczególnie narażonych na negatywne jej skutki (działania aktywne, w</w:t>
      </w:r>
      <w:r w:rsidR="006F35A5" w:rsidRPr="007E08F7">
        <w:rPr>
          <w:rFonts w:asciiTheme="minorHAnsi" w:hAnsiTheme="minorHAnsi" w:cstheme="minorHAnsi"/>
        </w:rPr>
        <w:t> </w:t>
      </w:r>
      <w:r w:rsidRPr="007E08F7">
        <w:rPr>
          <w:rFonts w:asciiTheme="minorHAnsi" w:hAnsiTheme="minorHAnsi" w:cstheme="minorHAnsi"/>
        </w:rPr>
        <w:t>szczególności w sferze utrzymania i przyciągania talentów oraz inwestycji), a z drugiej, na radzeniu sobie z jej skutkami (głównie w sferze opiekuńczej</w:t>
      </w:r>
      <w:r w:rsidRPr="007E08F7">
        <w:rPr>
          <w:rFonts w:asciiTheme="minorHAnsi" w:hAnsiTheme="minorHAnsi" w:cs="Arial"/>
        </w:rPr>
        <w:t>).</w:t>
      </w:r>
    </w:p>
    <w:p w14:paraId="20CA78F2" w14:textId="77777777" w:rsidR="000775DB" w:rsidRPr="007E08F7" w:rsidRDefault="000775DB" w:rsidP="000775DB">
      <w:pPr>
        <w:widowControl w:val="0"/>
        <w:suppressAutoHyphens/>
        <w:spacing w:before="120" w:after="120" w:line="288" w:lineRule="auto"/>
        <w:rPr>
          <w:rFonts w:asciiTheme="minorHAnsi" w:hAnsiTheme="minorHAnsi" w:cs="Arial"/>
        </w:rPr>
      </w:pPr>
      <w:r w:rsidRPr="007E08F7">
        <w:rPr>
          <w:rFonts w:asciiTheme="minorHAnsi" w:hAnsiTheme="minorHAnsi" w:cs="Arial"/>
        </w:rPr>
        <w:t>Kluczowa interwencja:</w:t>
      </w:r>
    </w:p>
    <w:p w14:paraId="128EA07A" w14:textId="604DC5A0" w:rsidR="000775DB" w:rsidRPr="007E08F7" w:rsidRDefault="000775DB">
      <w:pPr>
        <w:pStyle w:val="Akapitzlist"/>
        <w:widowControl w:val="0"/>
        <w:numPr>
          <w:ilvl w:val="0"/>
          <w:numId w:val="48"/>
        </w:numPr>
        <w:suppressAutoHyphens/>
        <w:spacing w:before="120" w:after="120" w:line="288" w:lineRule="auto"/>
        <w:contextualSpacing w:val="0"/>
        <w:rPr>
          <w:rFonts w:asciiTheme="minorHAnsi" w:hAnsiTheme="minorHAnsi" w:cs="Arial"/>
        </w:rPr>
      </w:pPr>
      <w:r w:rsidRPr="007E08F7">
        <w:rPr>
          <w:rFonts w:asciiTheme="minorHAnsi" w:hAnsiTheme="minorHAnsi" w:cs="Arial"/>
        </w:rPr>
        <w:t xml:space="preserve">dostęp do wysokiej jakości usług, w tym lokalny i ponadlokalny </w:t>
      </w:r>
      <w:r w:rsidR="000F30EA" w:rsidRPr="007E08F7">
        <w:rPr>
          <w:rFonts w:asciiTheme="minorHAnsi" w:hAnsiTheme="minorHAnsi" w:cs="Arial"/>
        </w:rPr>
        <w:t xml:space="preserve">publiczny </w:t>
      </w:r>
      <w:r w:rsidRPr="007E08F7">
        <w:rPr>
          <w:rFonts w:asciiTheme="minorHAnsi" w:hAnsiTheme="minorHAnsi" w:cs="Arial"/>
        </w:rPr>
        <w:t>transport zbiorowy, ochrona zdrowia, usługi opiekuńcze, pomoc społeczna, edukacja, szkolnictwo zawodowe, wsparcie rodzin, polityka senioralna, aktywna polityka mieszkaniowa;</w:t>
      </w:r>
    </w:p>
    <w:p w14:paraId="04AF2385" w14:textId="77777777" w:rsidR="000775DB" w:rsidRPr="007E08F7" w:rsidRDefault="000775DB">
      <w:pPr>
        <w:pStyle w:val="Akapitzlist"/>
        <w:widowControl w:val="0"/>
        <w:numPr>
          <w:ilvl w:val="0"/>
          <w:numId w:val="48"/>
        </w:numPr>
        <w:suppressAutoHyphens/>
        <w:spacing w:before="120" w:after="120" w:line="288" w:lineRule="auto"/>
        <w:contextualSpacing w:val="0"/>
        <w:rPr>
          <w:rFonts w:asciiTheme="minorHAnsi" w:hAnsiTheme="minorHAnsi" w:cs="Arial"/>
        </w:rPr>
      </w:pPr>
      <w:r w:rsidRPr="007E08F7">
        <w:rPr>
          <w:rFonts w:asciiTheme="minorHAnsi" w:hAnsiTheme="minorHAnsi" w:cs="Arial"/>
        </w:rPr>
        <w:t>wsparcie przedsiębiorczości, zachęty dla inwestorów, pozyskiwanie talentów, wydłużanie aktywności zawodowej;</w:t>
      </w:r>
    </w:p>
    <w:p w14:paraId="4DF24576" w14:textId="77777777" w:rsidR="000775DB" w:rsidRPr="007E08F7" w:rsidRDefault="000775DB">
      <w:pPr>
        <w:pStyle w:val="Akapitzlist"/>
        <w:widowControl w:val="0"/>
        <w:numPr>
          <w:ilvl w:val="0"/>
          <w:numId w:val="48"/>
        </w:numPr>
        <w:suppressAutoHyphens/>
        <w:spacing w:before="120" w:after="120" w:line="288" w:lineRule="auto"/>
        <w:contextualSpacing w:val="0"/>
        <w:rPr>
          <w:rFonts w:asciiTheme="minorHAnsi" w:hAnsiTheme="minorHAnsi" w:cs="Arial"/>
        </w:rPr>
      </w:pPr>
      <w:r w:rsidRPr="007E08F7">
        <w:rPr>
          <w:rFonts w:asciiTheme="minorHAnsi" w:hAnsiTheme="minorHAnsi" w:cs="Arial"/>
        </w:rPr>
        <w:t>przyciąganie nowych mieszkańców, w tym migrantów wraz z działaniami na rzecz ich integracji;</w:t>
      </w:r>
    </w:p>
    <w:p w14:paraId="625F96C8" w14:textId="7A285155" w:rsidR="000775DB" w:rsidRPr="007E08F7" w:rsidRDefault="000775DB">
      <w:pPr>
        <w:pStyle w:val="Akapitzlist"/>
        <w:widowControl w:val="0"/>
        <w:numPr>
          <w:ilvl w:val="0"/>
          <w:numId w:val="48"/>
        </w:numPr>
        <w:suppressAutoHyphens/>
        <w:spacing w:before="120" w:after="120" w:line="288" w:lineRule="auto"/>
        <w:contextualSpacing w:val="0"/>
        <w:rPr>
          <w:rFonts w:asciiTheme="minorHAnsi" w:hAnsiTheme="minorHAnsi" w:cs="Arial"/>
        </w:rPr>
      </w:pPr>
      <w:r w:rsidRPr="007E08F7">
        <w:rPr>
          <w:rFonts w:asciiTheme="minorHAnsi" w:hAnsiTheme="minorHAnsi" w:cs="Arial"/>
        </w:rPr>
        <w:t>wzmocnienie potencjału instytucjonalnego i adaptacyjnego jednostek samorządu terytorialnego, budowanie zdolności i kompetencji w zakresie zarządzania finansowaniem rozwoju usług dla mieszkańców, rozwój współpracy i zarządzania w</w:t>
      </w:r>
      <w:r w:rsidR="006F35A5" w:rsidRPr="007E08F7">
        <w:rPr>
          <w:rFonts w:asciiTheme="minorHAnsi" w:hAnsiTheme="minorHAnsi" w:cs="Arial"/>
        </w:rPr>
        <w:t> </w:t>
      </w:r>
      <w:r w:rsidRPr="007E08F7">
        <w:rPr>
          <w:rFonts w:asciiTheme="minorHAnsi" w:hAnsiTheme="minorHAnsi" w:cs="Arial"/>
        </w:rPr>
        <w:t>układach ponadlokalnych.</w:t>
      </w:r>
    </w:p>
    <w:p w14:paraId="08286B79" w14:textId="77777777" w:rsidR="000775DB" w:rsidRPr="007E08F7" w:rsidRDefault="000775DB" w:rsidP="002774ED">
      <w:pPr>
        <w:pStyle w:val="Nagwek2"/>
      </w:pPr>
      <w:bookmarkStart w:id="98" w:name="_Toc239772113"/>
      <w:r w:rsidRPr="007E08F7">
        <w:t>Realizacja wymiaru terytorialnego Strategii</w:t>
      </w:r>
      <w:bookmarkEnd w:id="98"/>
    </w:p>
    <w:p w14:paraId="11AFBB41"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Skuteczna realizacja wymiaru terytorialnego Strategii wymaga prowadzenia zintegrowanej polityki rozwoju, opartej na współpracy Samorządu Województwa Pomorskiego, administracji rządowej, jednostek samorządu terytorialnego, związku metropolitalnego w województwie pomorskim, organizacji społeczeństwa obywatelskiego, partnerów społecznych i gospodarczych oraz środowisk naukowych.</w:t>
      </w:r>
    </w:p>
    <w:p w14:paraId="1DAF6C3B" w14:textId="77777777" w:rsidR="000775DB" w:rsidRPr="007E08F7" w:rsidRDefault="000775DB" w:rsidP="000775DB">
      <w:pPr>
        <w:spacing w:before="120" w:after="120" w:line="288" w:lineRule="auto"/>
        <w:rPr>
          <w:rFonts w:asciiTheme="minorHAnsi" w:hAnsiTheme="minorHAnsi"/>
        </w:rPr>
      </w:pPr>
      <w:r w:rsidRPr="007E08F7">
        <w:rPr>
          <w:rFonts w:asciiTheme="minorHAnsi" w:hAnsiTheme="minorHAnsi"/>
        </w:rPr>
        <w:t>Instrumenty realizacji powinny być dostosowane do specyfiki poszczególnych obszarów oraz ukierunkowane na wzmacnianie współpracy pomiędzy podmiotami odpowiedzialnymi za prowadzenie polityki rozwoju. Oznacza to realizację zintegrowanych działań odpowiadających na wyzwania i potencjały całych obszarów funkcjonalnych.</w:t>
      </w:r>
    </w:p>
    <w:p w14:paraId="6DD7CF13" w14:textId="602EAD58" w:rsidR="000775DB" w:rsidRPr="007E08F7" w:rsidRDefault="000775DB" w:rsidP="00CF1C03">
      <w:pPr>
        <w:keepNext/>
        <w:keepLines/>
        <w:spacing w:before="120" w:after="120" w:line="288" w:lineRule="auto"/>
        <w:rPr>
          <w:rFonts w:asciiTheme="minorHAnsi" w:hAnsiTheme="minorHAnsi"/>
        </w:rPr>
      </w:pPr>
      <w:r w:rsidRPr="007E08F7">
        <w:rPr>
          <w:rFonts w:asciiTheme="minorHAnsi" w:hAnsiTheme="minorHAnsi"/>
        </w:rPr>
        <w:lastRenderedPageBreak/>
        <w:t>Do podstawowych instrumentów realizacji wymiaru terytorialnego należeć będą w</w:t>
      </w:r>
      <w:r w:rsidR="006F35A5" w:rsidRPr="007E08F7">
        <w:rPr>
          <w:rFonts w:asciiTheme="minorHAnsi" w:hAnsiTheme="minorHAnsi"/>
        </w:rPr>
        <w:t> </w:t>
      </w:r>
      <w:r w:rsidRPr="007E08F7">
        <w:rPr>
          <w:rFonts w:asciiTheme="minorHAnsi" w:hAnsiTheme="minorHAnsi"/>
        </w:rPr>
        <w:t>szczególności:</w:t>
      </w:r>
    </w:p>
    <w:p w14:paraId="0B2FFC39" w14:textId="77777777" w:rsidR="000775DB" w:rsidRPr="007E08F7" w:rsidRDefault="000775DB">
      <w:pPr>
        <w:numPr>
          <w:ilvl w:val="0"/>
          <w:numId w:val="1"/>
        </w:numPr>
        <w:spacing w:before="120" w:after="120" w:line="288" w:lineRule="auto"/>
        <w:ind w:left="357" w:hanging="357"/>
        <w:rPr>
          <w:rFonts w:asciiTheme="minorHAnsi" w:hAnsiTheme="minorHAnsi"/>
        </w:rPr>
      </w:pPr>
      <w:r w:rsidRPr="007E08F7">
        <w:rPr>
          <w:rFonts w:asciiTheme="minorHAnsi" w:hAnsiTheme="minorHAnsi"/>
        </w:rPr>
        <w:t>instrumenty terytorialne wspierające rozwój miejskich obszarów funkcjonalnych, obszarów wiejskich i małych miast oraz innych obszarów współpracy jednostek samorządu terytorialnego;</w:t>
      </w:r>
    </w:p>
    <w:p w14:paraId="4AEBD4F9" w14:textId="77777777" w:rsidR="000775DB" w:rsidRPr="007E08F7" w:rsidRDefault="000775DB">
      <w:pPr>
        <w:numPr>
          <w:ilvl w:val="0"/>
          <w:numId w:val="1"/>
        </w:numPr>
        <w:spacing w:before="120" w:after="120" w:line="288" w:lineRule="auto"/>
        <w:ind w:left="357" w:hanging="357"/>
        <w:rPr>
          <w:rFonts w:asciiTheme="minorHAnsi" w:hAnsiTheme="minorHAnsi"/>
        </w:rPr>
      </w:pPr>
      <w:r w:rsidRPr="007E08F7">
        <w:rPr>
          <w:rFonts w:asciiTheme="minorHAnsi" w:hAnsiTheme="minorHAnsi"/>
        </w:rPr>
        <w:t>partnerstwa terytorialne tworzone przez jednostki samorządu terytorialnego oraz ich partnerów społecznych i gospodarczych;</w:t>
      </w:r>
    </w:p>
    <w:p w14:paraId="54562C1F" w14:textId="77777777" w:rsidR="000775DB" w:rsidRPr="007E08F7" w:rsidRDefault="000775DB">
      <w:pPr>
        <w:numPr>
          <w:ilvl w:val="0"/>
          <w:numId w:val="1"/>
        </w:numPr>
        <w:spacing w:before="120" w:after="120" w:line="288" w:lineRule="auto"/>
        <w:ind w:left="357" w:hanging="357"/>
        <w:rPr>
          <w:rFonts w:asciiTheme="minorHAnsi" w:hAnsiTheme="minorHAnsi"/>
        </w:rPr>
      </w:pPr>
      <w:r w:rsidRPr="007E08F7">
        <w:rPr>
          <w:rFonts w:asciiTheme="minorHAnsi" w:hAnsiTheme="minorHAnsi"/>
        </w:rPr>
        <w:t>porozumienia terytorialne oraz inne instrumenty współpracy pomiędzy administracją rządową i samorządową.</w:t>
      </w:r>
    </w:p>
    <w:p w14:paraId="5B540EBA" w14:textId="7C83EC53" w:rsidR="007441DE" w:rsidRPr="007E08F7" w:rsidRDefault="000775DB" w:rsidP="000775DB">
      <w:pPr>
        <w:spacing w:before="120" w:after="120" w:line="288" w:lineRule="auto"/>
        <w:rPr>
          <w:rFonts w:asciiTheme="minorHAnsi" w:eastAsia="Calibri" w:hAnsiTheme="minorHAnsi" w:cs="Times New Roman"/>
        </w:rPr>
      </w:pPr>
      <w:r w:rsidRPr="007E08F7">
        <w:rPr>
          <w:rFonts w:asciiTheme="minorHAnsi" w:hAnsiTheme="minorHAnsi"/>
        </w:rPr>
        <w:t>Dobór instrumentów będzie uzależniony od charakteru danego obszaru funkcjonalnego, skali planowanych przedsięwzięć oraz zakresu współpracy niezbędnej do osiągnięcia zakładanych efektów</w:t>
      </w:r>
      <w:r w:rsidR="00A86384" w:rsidRPr="007E08F7">
        <w:rPr>
          <w:rFonts w:asciiTheme="minorHAnsi" w:eastAsia="Calibri" w:hAnsiTheme="minorHAnsi" w:cs="Times New Roman"/>
        </w:rPr>
        <w:t>.</w:t>
      </w:r>
      <w:r w:rsidR="007441DE" w:rsidRPr="007E08F7">
        <w:rPr>
          <w:rFonts w:asciiTheme="minorHAnsi" w:eastAsia="Calibri" w:hAnsiTheme="minorHAnsi" w:cs="Times New Roman"/>
        </w:rPr>
        <w:br w:type="page"/>
      </w:r>
    </w:p>
    <w:p w14:paraId="6650A4A8" w14:textId="284302EA" w:rsidR="00CC3C7E" w:rsidRPr="007E08F7" w:rsidRDefault="00804AA0" w:rsidP="00B64E0B">
      <w:pPr>
        <w:pStyle w:val="Nagwek1"/>
      </w:pPr>
      <w:bookmarkStart w:id="99" w:name="_Toc220493787"/>
      <w:bookmarkStart w:id="100" w:name="_Toc239772114"/>
      <w:r w:rsidRPr="007E08F7">
        <w:lastRenderedPageBreak/>
        <w:t>Rola Samorządu Województwa</w:t>
      </w:r>
      <w:bookmarkEnd w:id="99"/>
      <w:bookmarkEnd w:id="100"/>
    </w:p>
    <w:p w14:paraId="6AD2BFCF" w14:textId="77777777" w:rsidR="004B12C4" w:rsidRPr="007E08F7" w:rsidRDefault="004B12C4">
      <w:pPr>
        <w:numPr>
          <w:ilvl w:val="0"/>
          <w:numId w:val="49"/>
        </w:numPr>
        <w:spacing w:before="120" w:after="120" w:line="288" w:lineRule="auto"/>
        <w:ind w:left="284" w:hanging="284"/>
        <w:rPr>
          <w:rFonts w:asciiTheme="minorHAnsi" w:hAnsiTheme="minorHAnsi"/>
          <w:kern w:val="0"/>
          <w14:ligatures w14:val="none"/>
        </w:rPr>
      </w:pPr>
      <w:r w:rsidRPr="007E08F7">
        <w:rPr>
          <w:rFonts w:asciiTheme="minorHAnsi" w:eastAsia="MS Mincho" w:hAnsiTheme="minorHAnsi" w:cs="Times New Roman"/>
          <w:kern w:val="0"/>
          <w:lang w:eastAsia="ja-JP"/>
          <w14:ligatures w14:val="none"/>
        </w:rPr>
        <w:t xml:space="preserve">Układ celów Strategii wyznacza zakres oferty SWP skierowanej do kluczowych partnerów w regionie, w tym przede wszystkim jednostek samorządu terytorialnego, organizacji społeczeństwa obywatelskiego, przedsiębiorców i ich organizacji, szkół wyższych i jednostek naukowo-badawczych, instytucji otoczenia biznesu oraz administracji rządowej. </w:t>
      </w:r>
    </w:p>
    <w:p w14:paraId="32154CC1" w14:textId="2BD27D90" w:rsidR="004B12C4" w:rsidRPr="007E08F7" w:rsidRDefault="004B12C4">
      <w:pPr>
        <w:numPr>
          <w:ilvl w:val="0"/>
          <w:numId w:val="49"/>
        </w:numPr>
        <w:spacing w:before="120" w:after="120" w:line="288" w:lineRule="auto"/>
        <w:ind w:left="284" w:hanging="284"/>
        <w:rPr>
          <w:rFonts w:asciiTheme="minorHAnsi" w:eastAsia="MS Mincho" w:hAnsiTheme="minorHAnsi" w:cs="Times New Roman"/>
          <w:kern w:val="0"/>
          <w:lang w:eastAsia="ja-JP"/>
          <w14:ligatures w14:val="none"/>
        </w:rPr>
      </w:pPr>
      <w:r w:rsidRPr="007E08F7">
        <w:rPr>
          <w:rFonts w:asciiTheme="minorHAnsi" w:eastAsia="MS Mincho" w:hAnsiTheme="minorHAnsi" w:cs="Times New Roman"/>
          <w:kern w:val="0"/>
          <w:lang w:eastAsia="ja-JP"/>
          <w14:ligatures w14:val="none"/>
        </w:rPr>
        <w:t xml:space="preserve">W zależności od analizowanego celu, SWP w procesie realizacji Strategii będzie pełnił różne role jako: </w:t>
      </w:r>
    </w:p>
    <w:p w14:paraId="762E58F5" w14:textId="54578213" w:rsidR="004B12C4" w:rsidRPr="007E08F7" w:rsidRDefault="004B12C4">
      <w:pPr>
        <w:numPr>
          <w:ilvl w:val="1"/>
          <w:numId w:val="64"/>
        </w:numPr>
        <w:spacing w:before="120" w:after="120" w:line="288" w:lineRule="auto"/>
        <w:ind w:left="709" w:hanging="425"/>
        <w:rPr>
          <w:rFonts w:asciiTheme="minorHAnsi" w:eastAsia="MS Mincho" w:hAnsiTheme="minorHAnsi" w:cs="Times New Roman"/>
          <w:kern w:val="0"/>
          <w:lang w:eastAsia="ja-JP"/>
          <w14:ligatures w14:val="none"/>
        </w:rPr>
      </w:pPr>
      <w:r w:rsidRPr="007E08F7">
        <w:rPr>
          <w:rFonts w:asciiTheme="minorHAnsi" w:hAnsiTheme="minorHAnsi"/>
          <w:b/>
          <w:kern w:val="0"/>
          <w14:ligatures w14:val="none"/>
        </w:rPr>
        <w:t xml:space="preserve">KOORDYNATOR </w:t>
      </w:r>
      <w:r w:rsidRPr="007E08F7">
        <w:rPr>
          <w:rFonts w:asciiTheme="minorHAnsi" w:hAnsiTheme="minorHAnsi"/>
          <w:kern w:val="0"/>
          <w14:ligatures w14:val="none"/>
        </w:rPr>
        <w:t xml:space="preserve">– </w:t>
      </w:r>
      <w:r w:rsidRPr="007E08F7">
        <w:rPr>
          <w:rFonts w:asciiTheme="minorHAnsi" w:hAnsiTheme="minorHAnsi" w:cs="Arial"/>
          <w:kern w:val="0"/>
          <w14:ligatures w14:val="none"/>
        </w:rPr>
        <w:t>podmiot opracowujący i aktualizujący Strategię, odpowiadający za jej realizację, wyznaczający jednostki realizacyjne w</w:t>
      </w:r>
      <w:r w:rsidR="006F35A5" w:rsidRPr="007E08F7">
        <w:rPr>
          <w:rFonts w:asciiTheme="minorHAnsi" w:hAnsiTheme="minorHAnsi" w:cs="Arial"/>
          <w:kern w:val="0"/>
          <w14:ligatures w14:val="none"/>
        </w:rPr>
        <w:t> </w:t>
      </w:r>
      <w:r w:rsidRPr="007E08F7">
        <w:rPr>
          <w:rFonts w:asciiTheme="minorHAnsi" w:hAnsiTheme="minorHAnsi" w:cs="Arial"/>
          <w:kern w:val="0"/>
          <w14:ligatures w14:val="none"/>
        </w:rPr>
        <w:t>strukturach SWP oraz monitorujący postęp prowadzonych w ramach Strategii działań.</w:t>
      </w:r>
    </w:p>
    <w:p w14:paraId="6B17AED4" w14:textId="77777777" w:rsidR="004B12C4" w:rsidRPr="007E08F7" w:rsidRDefault="004B12C4" w:rsidP="00CF1C03">
      <w:pPr>
        <w:pStyle w:val="Akapitzlist"/>
        <w:autoSpaceDE w:val="0"/>
        <w:autoSpaceDN w:val="0"/>
        <w:adjustRightInd w:val="0"/>
        <w:spacing w:before="120" w:after="120" w:line="288" w:lineRule="auto"/>
        <w:ind w:left="709" w:right="-113"/>
        <w:rPr>
          <w:rFonts w:asciiTheme="minorHAnsi" w:hAnsiTheme="minorHAnsi"/>
          <w:kern w:val="0"/>
          <w14:ligatures w14:val="none"/>
        </w:rPr>
      </w:pPr>
      <w:r w:rsidRPr="007E08F7">
        <w:rPr>
          <w:rFonts w:asciiTheme="minorHAnsi" w:hAnsiTheme="minorHAnsi"/>
          <w:kern w:val="0"/>
          <w14:ligatures w14:val="none"/>
        </w:rPr>
        <w:t xml:space="preserve">SWP pełni także rolę koordynującą w zakresie przedsięwziąć przyczyniających się do zmiany strukturalnej na poziomie regionalnym. Funkcja koordynatora obejmuje także współpracę z poziomem krajowym i Komisją Europejską w zakresie realizacji Strategii w oparciu o krajowe źródła finansowania oraz instrumenty centralnie zarządzane. </w:t>
      </w:r>
    </w:p>
    <w:p w14:paraId="069AF6BA" w14:textId="6204C673" w:rsidR="004B12C4" w:rsidRPr="007E08F7" w:rsidRDefault="004B12C4">
      <w:pPr>
        <w:numPr>
          <w:ilvl w:val="1"/>
          <w:numId w:val="64"/>
        </w:numPr>
        <w:autoSpaceDE w:val="0"/>
        <w:autoSpaceDN w:val="0"/>
        <w:adjustRightInd w:val="0"/>
        <w:spacing w:before="120" w:after="120" w:line="288" w:lineRule="auto"/>
        <w:ind w:left="709" w:right="-113" w:hanging="425"/>
        <w:rPr>
          <w:rFonts w:asciiTheme="minorHAnsi" w:hAnsiTheme="minorHAnsi"/>
          <w:kern w:val="0"/>
          <w14:ligatures w14:val="none"/>
        </w:rPr>
      </w:pPr>
      <w:r w:rsidRPr="007E08F7">
        <w:rPr>
          <w:rFonts w:asciiTheme="minorHAnsi" w:hAnsiTheme="minorHAnsi"/>
          <w:b/>
          <w:kern w:val="0"/>
          <w14:ligatures w14:val="none"/>
        </w:rPr>
        <w:t>INWESTOR</w:t>
      </w:r>
      <w:r w:rsidRPr="007E08F7">
        <w:rPr>
          <w:rFonts w:asciiTheme="minorHAnsi" w:hAnsiTheme="minorHAnsi"/>
          <w:kern w:val="0"/>
          <w14:ligatures w14:val="none"/>
        </w:rPr>
        <w:t xml:space="preserve"> – podmiot bezpośrednio realizujący i (</w:t>
      </w:r>
      <w:proofErr w:type="spellStart"/>
      <w:r w:rsidRPr="007E08F7">
        <w:rPr>
          <w:rFonts w:asciiTheme="minorHAnsi" w:hAnsiTheme="minorHAnsi"/>
          <w:kern w:val="0"/>
          <w14:ligatures w14:val="none"/>
        </w:rPr>
        <w:t>współ</w:t>
      </w:r>
      <w:proofErr w:type="spellEnd"/>
      <w:r w:rsidRPr="007E08F7">
        <w:rPr>
          <w:rFonts w:asciiTheme="minorHAnsi" w:hAnsiTheme="minorHAnsi"/>
          <w:kern w:val="0"/>
          <w14:ligatures w14:val="none"/>
        </w:rPr>
        <w:t>-) finansujący zadania w</w:t>
      </w:r>
      <w:r w:rsidR="006F35A5" w:rsidRPr="007E08F7">
        <w:rPr>
          <w:rFonts w:asciiTheme="minorHAnsi" w:hAnsiTheme="minorHAnsi"/>
          <w:kern w:val="0"/>
          <w14:ligatures w14:val="none"/>
        </w:rPr>
        <w:t> </w:t>
      </w:r>
      <w:r w:rsidRPr="007E08F7">
        <w:rPr>
          <w:rFonts w:asciiTheme="minorHAnsi" w:hAnsiTheme="minorHAnsi"/>
          <w:kern w:val="0"/>
          <w14:ligatures w14:val="none"/>
        </w:rPr>
        <w:t xml:space="preserve">ramach </w:t>
      </w:r>
      <w:r w:rsidRPr="007E08F7">
        <w:rPr>
          <w:rFonts w:asciiTheme="minorHAnsi" w:hAnsiTheme="minorHAnsi" w:cstheme="minorBidi"/>
          <w:kern w:val="0"/>
          <w14:ligatures w14:val="none"/>
        </w:rPr>
        <w:t xml:space="preserve">interwencji </w:t>
      </w:r>
      <w:r w:rsidRPr="007E08F7">
        <w:rPr>
          <w:rFonts w:asciiTheme="minorHAnsi" w:hAnsiTheme="minorHAnsi"/>
          <w:kern w:val="0"/>
          <w14:ligatures w14:val="none"/>
        </w:rPr>
        <w:t xml:space="preserve">Strategii poprzez projekty własne, partnerskie lub zadania zlecone lub też inwestujący pośrednio, poprzez zaprogramowanie odpowiednich alokacji finansowych w zarządzanych przez siebie programach, z przeznaczeniem na współfinansowanie przedsięwzięć innych podmiotów w regionie. </w:t>
      </w:r>
    </w:p>
    <w:p w14:paraId="33222FC2" w14:textId="77777777" w:rsidR="004B12C4" w:rsidRPr="007E08F7" w:rsidRDefault="004B12C4">
      <w:pPr>
        <w:numPr>
          <w:ilvl w:val="1"/>
          <w:numId w:val="64"/>
        </w:numPr>
        <w:autoSpaceDE w:val="0"/>
        <w:autoSpaceDN w:val="0"/>
        <w:adjustRightInd w:val="0"/>
        <w:spacing w:before="120" w:after="120" w:line="288" w:lineRule="auto"/>
        <w:ind w:left="709" w:right="-113" w:hanging="425"/>
        <w:rPr>
          <w:rFonts w:asciiTheme="minorHAnsi" w:hAnsiTheme="minorHAnsi"/>
          <w:kern w:val="0"/>
          <w14:ligatures w14:val="none"/>
        </w:rPr>
      </w:pPr>
      <w:r w:rsidRPr="007E08F7">
        <w:rPr>
          <w:rFonts w:asciiTheme="minorHAnsi" w:hAnsiTheme="minorHAnsi"/>
          <w:b/>
          <w:kern w:val="0"/>
          <w14:ligatures w14:val="none"/>
        </w:rPr>
        <w:t>INSPIRATOR</w:t>
      </w:r>
      <w:r w:rsidRPr="007E08F7">
        <w:rPr>
          <w:rFonts w:asciiTheme="minorHAnsi" w:hAnsiTheme="minorHAnsi"/>
          <w:kern w:val="0"/>
          <w14:ligatures w14:val="none"/>
        </w:rPr>
        <w:t xml:space="preserve"> – podmiot inicjujący współpracę różnych partnerów i lobbujący na rzecz przedsięwzięć rozwojowych kluczowych dla regionu, które są realizowane na innych poziomach zarządzania, w szczególności na poziomie krajowym i europejskim.</w:t>
      </w:r>
    </w:p>
    <w:p w14:paraId="4F8257F1" w14:textId="0EA8C823" w:rsidR="00CC3C7E" w:rsidRPr="007E08F7" w:rsidRDefault="004B12C4">
      <w:pPr>
        <w:numPr>
          <w:ilvl w:val="1"/>
          <w:numId w:val="64"/>
        </w:numPr>
        <w:autoSpaceDE w:val="0"/>
        <w:autoSpaceDN w:val="0"/>
        <w:adjustRightInd w:val="0"/>
        <w:spacing w:before="120" w:after="120" w:line="288" w:lineRule="auto"/>
        <w:ind w:left="709" w:right="-113" w:hanging="425"/>
        <w:rPr>
          <w:rFonts w:asciiTheme="minorHAnsi" w:hAnsiTheme="minorHAnsi"/>
          <w:kern w:val="0"/>
          <w14:ligatures w14:val="none"/>
        </w:rPr>
      </w:pPr>
      <w:r w:rsidRPr="007E08F7">
        <w:rPr>
          <w:rFonts w:asciiTheme="minorHAnsi" w:hAnsiTheme="minorHAnsi"/>
          <w:b/>
          <w:kern w:val="0"/>
          <w14:ligatures w14:val="none"/>
        </w:rPr>
        <w:t xml:space="preserve">INTEGRATOR </w:t>
      </w:r>
      <w:r w:rsidRPr="007E08F7">
        <w:rPr>
          <w:rFonts w:asciiTheme="minorHAnsi" w:hAnsiTheme="minorHAnsi"/>
          <w:kern w:val="0"/>
          <w14:ligatures w14:val="none"/>
        </w:rPr>
        <w:t>– podmiot odpowiedzialny za terytorialną i funkcjonalną integrację polityki rozwoju poprzez zapewnienie spójności ponadlokalnej, przeciwdziałanie polaryzacji rozwoju oraz optymalizację realizacji zadań publicznych</w:t>
      </w:r>
      <w:r w:rsidR="00CC3C7E" w:rsidRPr="007E08F7">
        <w:rPr>
          <w:rFonts w:asciiTheme="minorHAnsi" w:hAnsiTheme="minorHAnsi"/>
          <w:kern w:val="0"/>
          <w14:ligatures w14:val="none"/>
        </w:rPr>
        <w:t xml:space="preserve">. </w:t>
      </w:r>
      <w:r w:rsidR="00CC3C7E" w:rsidRPr="007E08F7">
        <w:rPr>
          <w:rFonts w:asciiTheme="minorHAnsi" w:hAnsiTheme="minorHAnsi"/>
          <w:kern w:val="0"/>
          <w14:ligatures w14:val="none"/>
        </w:rPr>
        <w:br w:type="page"/>
      </w:r>
    </w:p>
    <w:p w14:paraId="123EE310" w14:textId="53F34D06" w:rsidR="007441DE" w:rsidRPr="007E08F7" w:rsidRDefault="00804AA0" w:rsidP="00B64E0B">
      <w:pPr>
        <w:pStyle w:val="Nagwek1"/>
      </w:pPr>
      <w:bookmarkStart w:id="101" w:name="_Toc239772115"/>
      <w:r w:rsidRPr="007E08F7">
        <w:lastRenderedPageBreak/>
        <w:t>System realizacji Strategii</w:t>
      </w:r>
      <w:bookmarkEnd w:id="101"/>
      <w:r w:rsidRPr="007E08F7">
        <w:t xml:space="preserve"> </w:t>
      </w:r>
    </w:p>
    <w:p w14:paraId="5335A832" w14:textId="06615C4D"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Realizacja celów rozwojowych regionu wymaga wdrożenia zintegrowanego i</w:t>
      </w:r>
      <w:r w:rsidR="006F35A5" w:rsidRPr="007E08F7">
        <w:rPr>
          <w:rFonts w:asciiTheme="minorHAnsi" w:eastAsia="Aptos" w:hAnsiTheme="minorHAnsi" w:cs="Times New Roman"/>
        </w:rPr>
        <w:t> </w:t>
      </w:r>
      <w:r w:rsidRPr="007E08F7">
        <w:rPr>
          <w:rFonts w:asciiTheme="minorHAnsi" w:eastAsia="Aptos" w:hAnsiTheme="minorHAnsi" w:cs="Times New Roman"/>
        </w:rPr>
        <w:t>elastycznego modelu zarządzania. System realizacji Strategii Rozwoju Województwa Pomorskiego 2035 określa ramy instytucjonalne, operacyjne i finansowe, służące koordynacji działań publicznych. Jego nadrzędnym zadaniem jest przełożenie zapisów Strategii na instrumenty realizacyjne, przy jednoczesnym zachowaniu zdolności do</w:t>
      </w:r>
      <w:r w:rsidR="00CF1C03" w:rsidRPr="007E08F7">
        <w:rPr>
          <w:rFonts w:asciiTheme="minorHAnsi" w:eastAsia="Aptos" w:hAnsiTheme="minorHAnsi" w:cs="Times New Roman"/>
        </w:rPr>
        <w:t> </w:t>
      </w:r>
      <w:r w:rsidRPr="007E08F7">
        <w:rPr>
          <w:rFonts w:asciiTheme="minorHAnsi" w:eastAsia="Aptos" w:hAnsiTheme="minorHAnsi" w:cs="Times New Roman"/>
        </w:rPr>
        <w:t>szybkiego reagowania na zmieniające się uwarunkowania społeczno-gospodarcze.</w:t>
      </w:r>
    </w:p>
    <w:p w14:paraId="4C82731C" w14:textId="77777777" w:rsidR="004B12C4" w:rsidRPr="007E08F7" w:rsidRDefault="004B12C4" w:rsidP="002774ED">
      <w:pPr>
        <w:pStyle w:val="Nagwek2"/>
      </w:pPr>
      <w:bookmarkStart w:id="102" w:name="_Toc239772116"/>
      <w:r w:rsidRPr="007E08F7">
        <w:t>Narzędzia realizacji</w:t>
      </w:r>
      <w:bookmarkEnd w:id="102"/>
    </w:p>
    <w:p w14:paraId="4386D70F" w14:textId="72675E61"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Podstawowym punktem odniesienia w strukturze wdrażania będą wieloletnie dokumenty programowe, dedykowane operacjonalizacji działań Samorządu Województwa Pomorskiego w kluczowych obszarach tematycznych. Zgodność ze Strategią oraz wyznaczonymi dla niej instrumentami wykonawczymi będzie podstawowym kryterium decydującym o kształcie przyjmowanych na poziomie SWP narzędzi realizacyjnych. Dokumenty te stanowić będą główną podstawę ukierunkowania środków ujmowanych po stronie wydatków rozwojowych w budżecie województwa, w</w:t>
      </w:r>
      <w:r w:rsidR="006F35A5" w:rsidRPr="007E08F7">
        <w:rPr>
          <w:rFonts w:asciiTheme="minorHAnsi" w:eastAsia="Aptos" w:hAnsiTheme="minorHAnsi" w:cs="Times New Roman"/>
        </w:rPr>
        <w:t> </w:t>
      </w:r>
      <w:r w:rsidRPr="007E08F7">
        <w:rPr>
          <w:rFonts w:asciiTheme="minorHAnsi" w:eastAsia="Aptos" w:hAnsiTheme="minorHAnsi" w:cs="Times New Roman"/>
        </w:rPr>
        <w:t xml:space="preserve">tym środków unijnych dostępnych dla województwa pomorskiego. </w:t>
      </w:r>
    </w:p>
    <w:p w14:paraId="26F524C8" w14:textId="77777777"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Dokumenty programowe cechować się będą tym, że:</w:t>
      </w:r>
    </w:p>
    <w:p w14:paraId="2590C754"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miały zbliżoną strukturę i jednolite standardy określone na poziomie regionalnym;</w:t>
      </w:r>
    </w:p>
    <w:p w14:paraId="3E3B9D9C"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realizowały jeden lub więcej celów operacyjnych Strategii lub ich wybranych obszarów tematycznych, precyzując, selekcjonując oraz hierarchizując problemy i działania rozwojowe służące osiąganiu tych celów;</w:t>
      </w:r>
    </w:p>
    <w:p w14:paraId="101A3713"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stanowiły integralny element organizacji sposobu wykonywania zadań SWP poprzez przyporządkowanie odpowiedzialności w strukturze organizacyjnej SWP;</w:t>
      </w:r>
    </w:p>
    <w:p w14:paraId="58BF9FBB"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skupić większość środków rozwojowych w dyspozycji SWP;</w:t>
      </w:r>
    </w:p>
    <w:p w14:paraId="4A5F9BE1"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miały wieloletnią perspektywę i będą operować mierzalnymi celami;</w:t>
      </w:r>
    </w:p>
    <w:p w14:paraId="50EBE380"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wskazywać terytorialne ukierunkowanie interwencji, rozwijając kryteria zawarte w Strategii z uwzględnieniem PZPWP 2050;</w:t>
      </w:r>
    </w:p>
    <w:p w14:paraId="04837A66"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wskazywały przedsięwzięcia, których realizacja jest niezbędna do osiągnięcia celów Strategii, lub precyzowały kryteria ich identyfikacji;</w:t>
      </w:r>
    </w:p>
    <w:p w14:paraId="42FB46D0"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precyzowały postulaty wobec administracji rządowej, a także obszary współdziałania z nią, jak również z innymi partnerami zewnętrznymi;</w:t>
      </w:r>
    </w:p>
    <w:p w14:paraId="3CD87666"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lastRenderedPageBreak/>
        <w:t>będą (</w:t>
      </w:r>
      <w:proofErr w:type="spellStart"/>
      <w:r w:rsidRPr="007E08F7">
        <w:rPr>
          <w:rFonts w:asciiTheme="minorHAnsi" w:eastAsia="Aptos" w:hAnsiTheme="minorHAnsi" w:cs="Times New Roman"/>
        </w:rPr>
        <w:t>współ</w:t>
      </w:r>
      <w:proofErr w:type="spellEnd"/>
      <w:r w:rsidRPr="007E08F7">
        <w:rPr>
          <w:rFonts w:asciiTheme="minorHAnsi" w:eastAsia="Aptos" w:hAnsiTheme="minorHAnsi" w:cs="Times New Roman"/>
        </w:rPr>
        <w:t>-)finansowane ze środków będących w dyspozycji SWP, a jednocześnie będą bezpośrednio powiązane z wieloletnimi dokumentami finansowymi;</w:t>
      </w:r>
    </w:p>
    <w:p w14:paraId="574302EA"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identyfikowały potencjalne zewnętrzne źródła finansowania i mechanizmy realizacji;</w:t>
      </w:r>
    </w:p>
    <w:p w14:paraId="40D3BF5F"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determinowały kształt i zawartość zarządzanych przez SWP instrumentów wspieranych środkami UE;</w:t>
      </w:r>
    </w:p>
    <w:p w14:paraId="16617CBA" w14:textId="77777777" w:rsidR="004B12C4" w:rsidRPr="007E08F7" w:rsidRDefault="004B12C4">
      <w:pPr>
        <w:numPr>
          <w:ilvl w:val="0"/>
          <w:numId w:val="18"/>
        </w:numPr>
        <w:spacing w:before="120" w:after="120" w:line="288" w:lineRule="auto"/>
        <w:ind w:left="357" w:hanging="357"/>
        <w:rPr>
          <w:rFonts w:asciiTheme="minorHAnsi" w:eastAsia="Aptos" w:hAnsiTheme="minorHAnsi" w:cs="Times New Roman"/>
        </w:rPr>
      </w:pPr>
      <w:r w:rsidRPr="007E08F7">
        <w:rPr>
          <w:rFonts w:asciiTheme="minorHAnsi" w:eastAsia="Aptos" w:hAnsiTheme="minorHAnsi" w:cs="Times New Roman"/>
        </w:rPr>
        <w:t>będą opracowywane w sposób partycypacyjny przy współudziale różnych podmiotów funkcjonujących w danym obszarze tematycznym.</w:t>
      </w:r>
    </w:p>
    <w:p w14:paraId="34FA9D8C" w14:textId="77777777"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Po przyjęciu Strategii, ZWP zatwierdzi Plan zarządzania Strategią, który określi, m.in. szczegółowy zakres zadań i odpowiedzialności podmiotów zaangażowanych w realizację Strategii i dokumentów programowych, sposób organizacji procesu realizacji Strategii.</w:t>
      </w:r>
    </w:p>
    <w:p w14:paraId="0D7AE39F" w14:textId="77777777" w:rsidR="004B12C4" w:rsidRPr="007E08F7" w:rsidRDefault="004B12C4" w:rsidP="002774ED">
      <w:pPr>
        <w:pStyle w:val="Nagwek2"/>
      </w:pPr>
      <w:bookmarkStart w:id="103" w:name="_Toc239772117"/>
      <w:r w:rsidRPr="007E08F7">
        <w:t>Zaangażowane podmioty</w:t>
      </w:r>
      <w:bookmarkEnd w:id="103"/>
    </w:p>
    <w:p w14:paraId="3E7B037C" w14:textId="4FB2D76B"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Podmiotem odpowiedzialnym za realizację Strategii jest S</w:t>
      </w:r>
      <w:r w:rsidR="00DC0399" w:rsidRPr="007E08F7">
        <w:rPr>
          <w:rFonts w:asciiTheme="minorHAnsi" w:eastAsia="Aptos" w:hAnsiTheme="minorHAnsi" w:cs="Times New Roman"/>
        </w:rPr>
        <w:t xml:space="preserve">amorząd </w:t>
      </w:r>
      <w:r w:rsidRPr="007E08F7">
        <w:rPr>
          <w:rFonts w:asciiTheme="minorHAnsi" w:eastAsia="Aptos" w:hAnsiTheme="minorHAnsi" w:cs="Times New Roman"/>
        </w:rPr>
        <w:t>W</w:t>
      </w:r>
      <w:r w:rsidR="00DC0399" w:rsidRPr="007E08F7">
        <w:rPr>
          <w:rFonts w:asciiTheme="minorHAnsi" w:eastAsia="Aptos" w:hAnsiTheme="minorHAnsi" w:cs="Times New Roman"/>
        </w:rPr>
        <w:t xml:space="preserve">ojewództwa </w:t>
      </w:r>
      <w:r w:rsidRPr="007E08F7">
        <w:rPr>
          <w:rFonts w:asciiTheme="minorHAnsi" w:eastAsia="Aptos" w:hAnsiTheme="minorHAnsi" w:cs="Times New Roman"/>
        </w:rPr>
        <w:t>P</w:t>
      </w:r>
      <w:r w:rsidR="00DC0399" w:rsidRPr="007E08F7">
        <w:rPr>
          <w:rFonts w:asciiTheme="minorHAnsi" w:eastAsia="Aptos" w:hAnsiTheme="minorHAnsi" w:cs="Times New Roman"/>
        </w:rPr>
        <w:t>omorskiego</w:t>
      </w:r>
      <w:r w:rsidRPr="007E08F7">
        <w:rPr>
          <w:rFonts w:asciiTheme="minorHAnsi" w:eastAsia="Aptos" w:hAnsiTheme="minorHAnsi" w:cs="Times New Roman"/>
        </w:rPr>
        <w:t>, który w celu efektywnego ukierunkowania i wzmocnienia interwencji będzie współpracował z wieloma partnerami funkcjonującymi na różnych poziomach zarządzania rozwojem. Należą do nich między innymi: administracja rządowa, jednostki samorządu terytorialnego, uczelnie, organizacje społeczeństwa obywatelskiego, LGR/LGD, partnerzy społeczni i gospodarczy, przedsiębiorcy, instytucje otoczenia biznesu, a także inne regiony oraz organizacje i instytucje zagraniczne i</w:t>
      </w:r>
      <w:r w:rsidR="006F35A5" w:rsidRPr="007E08F7">
        <w:rPr>
          <w:rFonts w:asciiTheme="minorHAnsi" w:eastAsia="Aptos" w:hAnsiTheme="minorHAnsi" w:cs="Times New Roman"/>
        </w:rPr>
        <w:t> </w:t>
      </w:r>
      <w:r w:rsidRPr="007E08F7">
        <w:rPr>
          <w:rFonts w:asciiTheme="minorHAnsi" w:eastAsia="Aptos" w:hAnsiTheme="minorHAnsi" w:cs="Times New Roman"/>
        </w:rPr>
        <w:t>międzynarodowe.</w:t>
      </w:r>
    </w:p>
    <w:p w14:paraId="104172C8" w14:textId="16F7CD9F"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Współpraca z partnerami przy realizacji Strategii będzie się odbywać przy poszanowaniu zasady subsydiarności. S</w:t>
      </w:r>
      <w:r w:rsidR="00DC0399" w:rsidRPr="007E08F7">
        <w:rPr>
          <w:rFonts w:asciiTheme="minorHAnsi" w:eastAsia="Aptos" w:hAnsiTheme="minorHAnsi" w:cs="Times New Roman"/>
        </w:rPr>
        <w:t xml:space="preserve">amorząd </w:t>
      </w:r>
      <w:r w:rsidRPr="007E08F7">
        <w:rPr>
          <w:rFonts w:asciiTheme="minorHAnsi" w:eastAsia="Aptos" w:hAnsiTheme="minorHAnsi" w:cs="Times New Roman"/>
        </w:rPr>
        <w:t>W</w:t>
      </w:r>
      <w:r w:rsidR="00DC0399" w:rsidRPr="007E08F7">
        <w:rPr>
          <w:rFonts w:asciiTheme="minorHAnsi" w:eastAsia="Aptos" w:hAnsiTheme="minorHAnsi" w:cs="Times New Roman"/>
        </w:rPr>
        <w:t xml:space="preserve">ojewództwa </w:t>
      </w:r>
      <w:r w:rsidRPr="007E08F7">
        <w:rPr>
          <w:rFonts w:asciiTheme="minorHAnsi" w:eastAsia="Aptos" w:hAnsiTheme="minorHAnsi" w:cs="Times New Roman"/>
        </w:rPr>
        <w:t>P</w:t>
      </w:r>
      <w:r w:rsidR="00DC0399" w:rsidRPr="007E08F7">
        <w:rPr>
          <w:rFonts w:asciiTheme="minorHAnsi" w:eastAsia="Aptos" w:hAnsiTheme="minorHAnsi" w:cs="Times New Roman"/>
        </w:rPr>
        <w:t>omorskiego</w:t>
      </w:r>
      <w:r w:rsidRPr="007E08F7">
        <w:rPr>
          <w:rFonts w:asciiTheme="minorHAnsi" w:eastAsia="Aptos" w:hAnsiTheme="minorHAnsi" w:cs="Times New Roman"/>
        </w:rPr>
        <w:t xml:space="preserve"> będzie budować partnerstwa, porozumienia z różnymi podmiotami wokół wspólnych celów rozwojowych, aby w ten sposób zwiększać koordynację, komplementarność i wzmacniać siłę oddziaływania realizowanych przedsięwzięć w skali regionu.</w:t>
      </w:r>
    </w:p>
    <w:p w14:paraId="39DD281E" w14:textId="2EBCC46B"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Zaangażowanie partnerów będzie przede wszystkim determinowane zakresem realizowanej interwencji w poszczególnych celach Strategii i może polegać, m.in. na</w:t>
      </w:r>
      <w:r w:rsidR="00CF1C03" w:rsidRPr="007E08F7">
        <w:rPr>
          <w:rFonts w:asciiTheme="minorHAnsi" w:eastAsia="Aptos" w:hAnsiTheme="minorHAnsi" w:cs="Times New Roman"/>
        </w:rPr>
        <w:t> </w:t>
      </w:r>
      <w:r w:rsidRPr="007E08F7">
        <w:rPr>
          <w:rFonts w:asciiTheme="minorHAnsi" w:eastAsia="Aptos" w:hAnsiTheme="minorHAnsi" w:cs="Times New Roman"/>
        </w:rPr>
        <w:t>udziale w określeniu zakresu kompleksowych przedsięwzięć realizowanych w skali regionalnej, udziale w realizacji tych przedsięwzięć, dialogu w zakresie przedsięwzięć, na które SWP nie ma bezpośredniego wpływu, konsultowaniu dokumentów o</w:t>
      </w:r>
      <w:r w:rsidR="006F35A5" w:rsidRPr="007E08F7">
        <w:rPr>
          <w:rFonts w:asciiTheme="minorHAnsi" w:eastAsia="Aptos" w:hAnsiTheme="minorHAnsi" w:cs="Times New Roman"/>
        </w:rPr>
        <w:t> </w:t>
      </w:r>
      <w:r w:rsidRPr="007E08F7">
        <w:rPr>
          <w:rFonts w:asciiTheme="minorHAnsi" w:eastAsia="Aptos" w:hAnsiTheme="minorHAnsi" w:cs="Times New Roman"/>
        </w:rPr>
        <w:t>charakterze wdrożeniowym, czy udziale w realizacji instrumentów terytorialnych realizujących SRWP 2035.</w:t>
      </w:r>
    </w:p>
    <w:p w14:paraId="7458C8FB" w14:textId="59CCCEAB"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Na poziomie regionalnym, współpraca z partnerami polegać będzie głównie na</w:t>
      </w:r>
      <w:r w:rsidR="00CF1C03" w:rsidRPr="007E08F7">
        <w:rPr>
          <w:rFonts w:asciiTheme="minorHAnsi" w:eastAsia="Aptos" w:hAnsiTheme="minorHAnsi" w:cs="Times New Roman"/>
        </w:rPr>
        <w:t> </w:t>
      </w:r>
      <w:r w:rsidRPr="007E08F7">
        <w:rPr>
          <w:rFonts w:asciiTheme="minorHAnsi" w:eastAsia="Aptos" w:hAnsiTheme="minorHAnsi" w:cs="Times New Roman"/>
        </w:rPr>
        <w:t>uzgadnianiu i wspólnej realizacji przedsięwzięć rozwojowych o znaczeniu regionalnym i</w:t>
      </w:r>
      <w:r w:rsidR="006F35A5" w:rsidRPr="007E08F7">
        <w:rPr>
          <w:rFonts w:asciiTheme="minorHAnsi" w:eastAsia="Aptos" w:hAnsiTheme="minorHAnsi" w:cs="Times New Roman"/>
        </w:rPr>
        <w:t> </w:t>
      </w:r>
      <w:r w:rsidRPr="007E08F7">
        <w:rPr>
          <w:rFonts w:asciiTheme="minorHAnsi" w:eastAsia="Aptos" w:hAnsiTheme="minorHAnsi" w:cs="Times New Roman"/>
        </w:rPr>
        <w:t xml:space="preserve">ponadlokalnym, wpisujących się w cele Strategii. Współpraca ta może być prowadzona w partnerskiej i negocjacyjnej formule instrumentów terytorialnych, </w:t>
      </w:r>
      <w:r w:rsidRPr="007E08F7">
        <w:rPr>
          <w:rFonts w:asciiTheme="minorHAnsi" w:eastAsia="Aptos" w:hAnsiTheme="minorHAnsi" w:cs="Times New Roman"/>
        </w:rPr>
        <w:lastRenderedPageBreak/>
        <w:t>adresowanych do obszarów interwencji wynikających ze Strategii i PZPWP 2050. Co</w:t>
      </w:r>
      <w:r w:rsidR="00CF1C03" w:rsidRPr="007E08F7">
        <w:rPr>
          <w:rFonts w:asciiTheme="minorHAnsi" w:eastAsia="Aptos" w:hAnsiTheme="minorHAnsi" w:cs="Times New Roman"/>
        </w:rPr>
        <w:t> </w:t>
      </w:r>
      <w:r w:rsidRPr="007E08F7">
        <w:rPr>
          <w:rFonts w:asciiTheme="minorHAnsi" w:eastAsia="Aptos" w:hAnsiTheme="minorHAnsi" w:cs="Times New Roman"/>
        </w:rPr>
        <w:t>do</w:t>
      </w:r>
      <w:r w:rsidR="00CF1C03" w:rsidRPr="007E08F7">
        <w:rPr>
          <w:rFonts w:asciiTheme="minorHAnsi" w:eastAsia="Aptos" w:hAnsiTheme="minorHAnsi" w:cs="Times New Roman"/>
        </w:rPr>
        <w:t> </w:t>
      </w:r>
      <w:r w:rsidRPr="007E08F7">
        <w:rPr>
          <w:rFonts w:asciiTheme="minorHAnsi" w:eastAsia="Aptos" w:hAnsiTheme="minorHAnsi" w:cs="Times New Roman"/>
        </w:rPr>
        <w:t>zasady, instrumenty terytorialne będą uzgadniane i zawierane pomiędzy samorządem województwa a partnerską reprezentacją danego obszaru, obejmującą w</w:t>
      </w:r>
      <w:r w:rsidR="00CF1C03" w:rsidRPr="007E08F7">
        <w:rPr>
          <w:rFonts w:asciiTheme="minorHAnsi" w:eastAsia="Aptos" w:hAnsiTheme="minorHAnsi" w:cs="Times New Roman"/>
        </w:rPr>
        <w:t> </w:t>
      </w:r>
      <w:r w:rsidRPr="007E08F7">
        <w:rPr>
          <w:rFonts w:asciiTheme="minorHAnsi" w:eastAsia="Aptos" w:hAnsiTheme="minorHAnsi" w:cs="Times New Roman"/>
        </w:rPr>
        <w:t>szczególności jednostki samorządu terytorialnego, organizacje społeczeństwa obywatelskiego, partnerów społecznych i gospodarczych, uczelnie (i inne instytucje edukacyjne i</w:t>
      </w:r>
      <w:r w:rsidR="006F35A5" w:rsidRPr="007E08F7">
        <w:rPr>
          <w:rFonts w:asciiTheme="minorHAnsi" w:eastAsia="Aptos" w:hAnsiTheme="minorHAnsi" w:cs="Times New Roman"/>
        </w:rPr>
        <w:t> </w:t>
      </w:r>
      <w:r w:rsidRPr="007E08F7">
        <w:rPr>
          <w:rFonts w:asciiTheme="minorHAnsi" w:eastAsia="Aptos" w:hAnsiTheme="minorHAnsi" w:cs="Times New Roman"/>
        </w:rPr>
        <w:t>naukowe), instytucje otoczenia biznesu i przedsiębiorców. Zakres instrumentów terytorialnych będzie wynikał z analizy problemów i potencjałów rozwojowych obszarów, do których będą skierowane, a same instrumenty będą stosowane w konsensusie co do wspólnego interesu partnerów. Ich efektem powinny być uzgodnione i spójne pakiety przedsięwzięć z różnych obszarów tematycznych, służące wykorzystaniu szans rozwojowych i przełamaniu barier cechujących dany obszar.</w:t>
      </w:r>
    </w:p>
    <w:p w14:paraId="0D234D55" w14:textId="0A9B0ED6"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 xml:space="preserve">Ważnym partnerem będzie administracja rządowa, z którą, w formach </w:t>
      </w:r>
      <w:proofErr w:type="spellStart"/>
      <w:r w:rsidRPr="007E08F7">
        <w:rPr>
          <w:rFonts w:asciiTheme="minorHAnsi" w:eastAsia="Aptos" w:hAnsiTheme="minorHAnsi" w:cs="Times New Roman"/>
        </w:rPr>
        <w:t>kontraktualnych</w:t>
      </w:r>
      <w:proofErr w:type="spellEnd"/>
      <w:r w:rsidRPr="007E08F7">
        <w:rPr>
          <w:rFonts w:asciiTheme="minorHAnsi" w:eastAsia="Aptos" w:hAnsiTheme="minorHAnsi" w:cs="Times New Roman"/>
        </w:rPr>
        <w:t>, uzgadniane będą strategiczne przedsięwzięcia rozwojowe w województwie, istotne zarówno z punktu widzenia kraju, jak i regionu. Będzie to służyć koordynacji interwencji prowadzonej z poziomu krajowego i regionalnego na rzecz osiągania celów Strategii. Stanowisko SWP będzie przygotowywane na podstawie Strategii i w konsultacji z</w:t>
      </w:r>
      <w:r w:rsidR="006F35A5" w:rsidRPr="007E08F7">
        <w:rPr>
          <w:rFonts w:asciiTheme="minorHAnsi" w:eastAsia="Aptos" w:hAnsiTheme="minorHAnsi" w:cs="Times New Roman"/>
        </w:rPr>
        <w:t> </w:t>
      </w:r>
      <w:r w:rsidRPr="007E08F7">
        <w:rPr>
          <w:rFonts w:asciiTheme="minorHAnsi" w:eastAsia="Aptos" w:hAnsiTheme="minorHAnsi" w:cs="Times New Roman"/>
        </w:rPr>
        <w:t>partnerami w regionie.</w:t>
      </w:r>
    </w:p>
    <w:p w14:paraId="1E5A6B01" w14:textId="77777777" w:rsidR="004B12C4" w:rsidRPr="007E08F7" w:rsidRDefault="004B12C4" w:rsidP="004B12C4">
      <w:pPr>
        <w:spacing w:before="120" w:after="120" w:line="288" w:lineRule="auto"/>
        <w:rPr>
          <w:rFonts w:asciiTheme="minorHAnsi" w:eastAsia="Aptos" w:hAnsiTheme="minorHAnsi" w:cs="Times New Roman"/>
        </w:rPr>
      </w:pPr>
      <w:r w:rsidRPr="007E08F7">
        <w:rPr>
          <w:rFonts w:asciiTheme="minorHAnsi" w:eastAsia="Aptos" w:hAnsiTheme="minorHAnsi" w:cs="Times New Roman"/>
        </w:rPr>
        <w:t>W celu pobudzenia i usystematyzowania debaty strategicznej dotyczącej rozwoju województwa oraz zacieśniania współpracy między kluczowymi aktorami zaangażowanymi w prowadzenie działań rozwojowych na poziomie regionalnym, ZWP będzie wspierany przez regionalne forum terytorialne, które będzie ciałem o charakterze opiniodawczo-konsultacyjnym.</w:t>
      </w:r>
    </w:p>
    <w:p w14:paraId="0DC7D6E3" w14:textId="77777777" w:rsidR="004B12C4" w:rsidRPr="007E08F7" w:rsidRDefault="004B12C4" w:rsidP="002774ED">
      <w:pPr>
        <w:pStyle w:val="Nagwek2"/>
      </w:pPr>
      <w:bookmarkStart w:id="104" w:name="_Toc239772118"/>
      <w:r w:rsidRPr="007E08F7">
        <w:t>Finansowanie</w:t>
      </w:r>
      <w:bookmarkEnd w:id="104"/>
    </w:p>
    <w:p w14:paraId="468B8DEB" w14:textId="77777777" w:rsidR="004B12C4" w:rsidRPr="007E08F7" w:rsidRDefault="004B12C4" w:rsidP="004B12C4">
      <w:p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Strategia będzie dokumentem kierunkowym dla budżetu województwa, wieloletnich dokumentów finansowych województwa oraz środków pozostających w dyspozycji województwa, w szczególności unijnych, co oznacza, że:</w:t>
      </w:r>
    </w:p>
    <w:p w14:paraId="72D046D6" w14:textId="77777777" w:rsidR="004B12C4" w:rsidRPr="007E08F7" w:rsidRDefault="004B12C4">
      <w:pPr>
        <w:numPr>
          <w:ilvl w:val="0"/>
          <w:numId w:val="65"/>
        </w:numPr>
        <w:tabs>
          <w:tab w:val="num" w:pos="851"/>
        </w:tabs>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wydatki powiązane z realizacją Strategii będą wyraźnie wyodrębnione, a ich realizacja monitorowana i sprawozdawana,</w:t>
      </w:r>
    </w:p>
    <w:p w14:paraId="3B3A711C" w14:textId="77777777" w:rsidR="004B12C4" w:rsidRPr="007E08F7" w:rsidRDefault="004B12C4">
      <w:pPr>
        <w:numPr>
          <w:ilvl w:val="0"/>
          <w:numId w:val="65"/>
        </w:num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zostaną zapewnione mechanizmy wieloletniego planowania wydatków strategicznych,</w:t>
      </w:r>
    </w:p>
    <w:p w14:paraId="4C121244" w14:textId="77777777" w:rsidR="004B12C4" w:rsidRPr="007E08F7" w:rsidRDefault="004B12C4">
      <w:pPr>
        <w:numPr>
          <w:ilvl w:val="0"/>
          <w:numId w:val="65"/>
        </w:num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zostaną zapewnione procedury decyzyjne w zakresie alokowania wydatków strategicznych.</w:t>
      </w:r>
    </w:p>
    <w:p w14:paraId="6C53A566" w14:textId="0B56289D" w:rsidR="004B12C4" w:rsidRPr="007E08F7" w:rsidRDefault="004B12C4" w:rsidP="00CF1C03">
      <w:pPr>
        <w:keepNext/>
        <w:keepLines/>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lastRenderedPageBreak/>
        <w:t>Jednym z kluczowych mechanizmów finansowania wspierającym realizację dokumentów programowych oraz kluczowych przedsięwzięć związanych z realizacją Strategii będą środki pozostające w dyspozycji Pomorskiego Funduszu Rozwoju Sp.</w:t>
      </w:r>
      <w:r w:rsidR="006F35A5" w:rsidRPr="007E08F7">
        <w:rPr>
          <w:rFonts w:asciiTheme="minorHAnsi" w:eastAsia="Aptos" w:hAnsiTheme="minorHAnsi" w:cs="Times New Roman"/>
          <w:color w:val="000000"/>
        </w:rPr>
        <w:t> </w:t>
      </w:r>
      <w:r w:rsidRPr="007E08F7">
        <w:rPr>
          <w:rFonts w:asciiTheme="minorHAnsi" w:eastAsia="Aptos" w:hAnsiTheme="minorHAnsi" w:cs="Times New Roman"/>
          <w:color w:val="000000"/>
        </w:rPr>
        <w:t>z</w:t>
      </w:r>
      <w:r w:rsidR="006F35A5" w:rsidRPr="007E08F7">
        <w:rPr>
          <w:rFonts w:asciiTheme="minorHAnsi" w:eastAsia="Aptos" w:hAnsiTheme="minorHAnsi" w:cs="Times New Roman"/>
          <w:color w:val="000000"/>
        </w:rPr>
        <w:t> </w:t>
      </w:r>
      <w:r w:rsidRPr="007E08F7">
        <w:rPr>
          <w:rFonts w:asciiTheme="minorHAnsi" w:eastAsia="Aptos" w:hAnsiTheme="minorHAnsi" w:cs="Times New Roman"/>
          <w:color w:val="000000"/>
        </w:rPr>
        <w:t>o.o.</w:t>
      </w:r>
    </w:p>
    <w:p w14:paraId="5FFD2D11" w14:textId="504BD8CF" w:rsidR="004B12C4" w:rsidRPr="007E08F7" w:rsidRDefault="004B12C4" w:rsidP="004B12C4">
      <w:p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Źródłami finansowania zamierzeń wynikających ze Strategii będą także środki budżetu państwa, funduszy celowych i programów rządowych, a także środki z instrumentów zarządzanych centralnie przez Komisję Europejską.</w:t>
      </w:r>
    </w:p>
    <w:p w14:paraId="0EB6DE7D" w14:textId="3409F6A1" w:rsidR="004B12C4" w:rsidRPr="007E08F7" w:rsidRDefault="004B12C4" w:rsidP="004B12C4">
      <w:p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Do realizacji przedsięwzięć wynikających z dokumentów programowych zostanie wykorzystany potencjał spółek prawa handlowego pozostających pod kontrolą SWP i</w:t>
      </w:r>
      <w:r w:rsidR="006F35A5" w:rsidRPr="007E08F7">
        <w:rPr>
          <w:rFonts w:asciiTheme="minorHAnsi" w:eastAsia="Aptos" w:hAnsiTheme="minorHAnsi" w:cs="Times New Roman"/>
          <w:color w:val="000000"/>
        </w:rPr>
        <w:t> </w:t>
      </w:r>
      <w:r w:rsidRPr="007E08F7">
        <w:rPr>
          <w:rFonts w:asciiTheme="minorHAnsi" w:eastAsia="Aptos" w:hAnsiTheme="minorHAnsi" w:cs="Times New Roman"/>
          <w:color w:val="000000"/>
        </w:rPr>
        <w:t>wykonujących zadania na jego rzecz.</w:t>
      </w:r>
    </w:p>
    <w:p w14:paraId="188217D0" w14:textId="77777777" w:rsidR="004B12C4" w:rsidRPr="007E08F7" w:rsidRDefault="004B12C4" w:rsidP="004B12C4">
      <w:p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Zasoby finansowe kierowane na realizację Strategii można podzielić następująco:</w:t>
      </w:r>
    </w:p>
    <w:p w14:paraId="51D83518" w14:textId="77777777" w:rsidR="004B12C4" w:rsidRPr="007E08F7" w:rsidRDefault="004B12C4">
      <w:pPr>
        <w:numPr>
          <w:ilvl w:val="0"/>
          <w:numId w:val="19"/>
        </w:numPr>
        <w:tabs>
          <w:tab w:val="clear" w:pos="210"/>
        </w:tabs>
        <w:spacing w:before="120" w:after="120" w:line="288" w:lineRule="auto"/>
        <w:ind w:left="357" w:hanging="357"/>
        <w:rPr>
          <w:rFonts w:asciiTheme="minorHAnsi" w:eastAsia="Aptos" w:hAnsiTheme="minorHAnsi" w:cs="Times New Roman"/>
          <w:color w:val="000000"/>
        </w:rPr>
      </w:pPr>
      <w:r w:rsidRPr="007E08F7">
        <w:rPr>
          <w:rFonts w:asciiTheme="minorHAnsi" w:eastAsia="Aptos" w:hAnsiTheme="minorHAnsi" w:cs="Times New Roman"/>
          <w:color w:val="000000"/>
        </w:rPr>
        <w:t>ze względu na źródło pochodzenia:</w:t>
      </w:r>
    </w:p>
    <w:p w14:paraId="6E79ABD6" w14:textId="77777777" w:rsidR="004B12C4" w:rsidRPr="007E08F7" w:rsidRDefault="004B12C4">
      <w:pPr>
        <w:numPr>
          <w:ilvl w:val="1"/>
          <w:numId w:val="59"/>
        </w:numPr>
        <w:tabs>
          <w:tab w:val="clear" w:pos="1437"/>
        </w:tabs>
        <w:spacing w:before="120" w:after="120" w:line="288" w:lineRule="auto"/>
        <w:ind w:left="567" w:hanging="283"/>
        <w:rPr>
          <w:rFonts w:asciiTheme="minorHAnsi" w:eastAsia="Aptos" w:hAnsiTheme="minorHAnsi" w:cs="Times New Roman"/>
          <w:color w:val="000000"/>
        </w:rPr>
      </w:pPr>
      <w:r w:rsidRPr="007E08F7">
        <w:rPr>
          <w:rFonts w:asciiTheme="minorHAnsi" w:eastAsia="Aptos" w:hAnsiTheme="minorHAnsi" w:cs="Times New Roman"/>
          <w:color w:val="000000"/>
        </w:rPr>
        <w:t>środki publiczne krajowe (rządowe, regionalne, lokalne);</w:t>
      </w:r>
    </w:p>
    <w:p w14:paraId="4CC233F1" w14:textId="77777777" w:rsidR="004B12C4" w:rsidRPr="007E08F7" w:rsidRDefault="004B12C4">
      <w:pPr>
        <w:numPr>
          <w:ilvl w:val="1"/>
          <w:numId w:val="59"/>
        </w:numPr>
        <w:tabs>
          <w:tab w:val="clear" w:pos="1437"/>
        </w:tabs>
        <w:spacing w:before="120" w:after="120" w:line="288" w:lineRule="auto"/>
        <w:ind w:left="567" w:hanging="283"/>
        <w:rPr>
          <w:rFonts w:asciiTheme="minorHAnsi" w:eastAsia="Aptos" w:hAnsiTheme="minorHAnsi" w:cs="Times New Roman"/>
          <w:color w:val="000000"/>
        </w:rPr>
      </w:pPr>
      <w:r w:rsidRPr="007E08F7">
        <w:rPr>
          <w:rFonts w:asciiTheme="minorHAnsi" w:eastAsia="Aptos" w:hAnsiTheme="minorHAnsi" w:cs="Times New Roman"/>
          <w:color w:val="000000"/>
        </w:rPr>
        <w:t>środki publiczne zagraniczne;</w:t>
      </w:r>
    </w:p>
    <w:p w14:paraId="514F807D" w14:textId="77777777" w:rsidR="004B12C4" w:rsidRPr="007E08F7" w:rsidRDefault="004B12C4">
      <w:pPr>
        <w:numPr>
          <w:ilvl w:val="1"/>
          <w:numId w:val="59"/>
        </w:numPr>
        <w:tabs>
          <w:tab w:val="clear" w:pos="1437"/>
        </w:tabs>
        <w:spacing w:before="120" w:after="120" w:line="288" w:lineRule="auto"/>
        <w:ind w:left="567" w:hanging="283"/>
        <w:rPr>
          <w:rFonts w:asciiTheme="minorHAnsi" w:eastAsia="Aptos" w:hAnsiTheme="minorHAnsi" w:cs="Times New Roman"/>
          <w:color w:val="000000"/>
        </w:rPr>
      </w:pPr>
      <w:r w:rsidRPr="007E08F7">
        <w:rPr>
          <w:rFonts w:asciiTheme="minorHAnsi" w:eastAsia="Aptos" w:hAnsiTheme="minorHAnsi" w:cs="Times New Roman"/>
          <w:color w:val="000000"/>
        </w:rPr>
        <w:t>środki prywatne zaangażowane w przedsięwzięcia o dużym oddziaływaniu publicznym.</w:t>
      </w:r>
    </w:p>
    <w:p w14:paraId="72011060" w14:textId="77777777" w:rsidR="004B12C4" w:rsidRPr="007E08F7" w:rsidRDefault="004B12C4">
      <w:pPr>
        <w:numPr>
          <w:ilvl w:val="0"/>
          <w:numId w:val="19"/>
        </w:numPr>
        <w:tabs>
          <w:tab w:val="clear" w:pos="210"/>
        </w:tabs>
        <w:spacing w:before="120" w:after="120" w:line="288" w:lineRule="auto"/>
        <w:ind w:left="357" w:hanging="357"/>
        <w:rPr>
          <w:rFonts w:asciiTheme="minorHAnsi" w:eastAsia="Aptos" w:hAnsiTheme="minorHAnsi" w:cs="Times New Roman"/>
          <w:color w:val="000000"/>
        </w:rPr>
      </w:pPr>
      <w:r w:rsidRPr="007E08F7">
        <w:rPr>
          <w:rFonts w:asciiTheme="minorHAnsi" w:eastAsia="Aptos" w:hAnsiTheme="minorHAnsi" w:cs="Times New Roman"/>
          <w:color w:val="000000"/>
        </w:rPr>
        <w:t>ze względu na stopień oddziaływania SWP:</w:t>
      </w:r>
    </w:p>
    <w:p w14:paraId="2DDE3254" w14:textId="77777777" w:rsidR="004B12C4" w:rsidRPr="007E08F7" w:rsidRDefault="004B12C4">
      <w:pPr>
        <w:numPr>
          <w:ilvl w:val="1"/>
          <w:numId w:val="59"/>
        </w:numPr>
        <w:tabs>
          <w:tab w:val="clear" w:pos="1437"/>
        </w:tabs>
        <w:spacing w:before="120" w:after="120" w:line="288" w:lineRule="auto"/>
        <w:ind w:left="567" w:hanging="283"/>
        <w:rPr>
          <w:rFonts w:asciiTheme="minorHAnsi" w:eastAsia="Aptos" w:hAnsiTheme="minorHAnsi" w:cs="Times New Roman"/>
          <w:color w:val="000000"/>
        </w:rPr>
      </w:pPr>
      <w:r w:rsidRPr="007E08F7">
        <w:rPr>
          <w:rFonts w:asciiTheme="minorHAnsi" w:eastAsia="Aptos" w:hAnsiTheme="minorHAnsi" w:cs="Times New Roman"/>
          <w:color w:val="000000"/>
        </w:rPr>
        <w:t>bezpośredniego (środki własne województwa);</w:t>
      </w:r>
    </w:p>
    <w:p w14:paraId="403D994E" w14:textId="77777777" w:rsidR="004B12C4" w:rsidRPr="007E08F7" w:rsidRDefault="004B12C4">
      <w:pPr>
        <w:numPr>
          <w:ilvl w:val="1"/>
          <w:numId w:val="59"/>
        </w:numPr>
        <w:tabs>
          <w:tab w:val="clear" w:pos="1437"/>
        </w:tabs>
        <w:spacing w:before="120" w:after="120" w:line="288" w:lineRule="auto"/>
        <w:ind w:left="567" w:hanging="283"/>
        <w:rPr>
          <w:rFonts w:asciiTheme="minorHAnsi" w:eastAsia="Aptos" w:hAnsiTheme="minorHAnsi" w:cs="Times New Roman"/>
          <w:color w:val="000000"/>
        </w:rPr>
      </w:pPr>
      <w:r w:rsidRPr="007E08F7">
        <w:rPr>
          <w:rFonts w:asciiTheme="minorHAnsi" w:eastAsia="Aptos" w:hAnsiTheme="minorHAnsi" w:cs="Times New Roman"/>
          <w:color w:val="000000"/>
        </w:rPr>
        <w:t>decyzyjnego (np. środki UE perspektywy 2028-2034 w zarządzaniu ZWP);</w:t>
      </w:r>
    </w:p>
    <w:p w14:paraId="162F288B" w14:textId="77777777" w:rsidR="004B12C4" w:rsidRPr="007E08F7" w:rsidRDefault="004B12C4">
      <w:pPr>
        <w:numPr>
          <w:ilvl w:val="1"/>
          <w:numId w:val="59"/>
        </w:numPr>
        <w:tabs>
          <w:tab w:val="clear" w:pos="1437"/>
        </w:tabs>
        <w:spacing w:before="120" w:after="120" w:line="288" w:lineRule="auto"/>
        <w:ind w:left="567" w:hanging="283"/>
        <w:rPr>
          <w:rFonts w:asciiTheme="minorHAnsi" w:eastAsia="Aptos" w:hAnsiTheme="minorHAnsi" w:cs="Times New Roman"/>
          <w:color w:val="000000"/>
        </w:rPr>
      </w:pPr>
      <w:r w:rsidRPr="007E08F7">
        <w:rPr>
          <w:rFonts w:asciiTheme="minorHAnsi" w:eastAsia="Aptos" w:hAnsiTheme="minorHAnsi" w:cs="Times New Roman"/>
          <w:color w:val="000000"/>
        </w:rPr>
        <w:t>uzgodnieniowego;</w:t>
      </w:r>
    </w:p>
    <w:p w14:paraId="2A3322DB" w14:textId="77777777" w:rsidR="004B12C4" w:rsidRPr="007E08F7" w:rsidRDefault="004B12C4">
      <w:pPr>
        <w:numPr>
          <w:ilvl w:val="1"/>
          <w:numId w:val="59"/>
        </w:numPr>
        <w:tabs>
          <w:tab w:val="clear" w:pos="1437"/>
        </w:tabs>
        <w:spacing w:before="120" w:after="120" w:line="288" w:lineRule="auto"/>
        <w:ind w:left="567" w:hanging="283"/>
        <w:rPr>
          <w:rFonts w:asciiTheme="minorHAnsi" w:eastAsia="Aptos" w:hAnsiTheme="minorHAnsi" w:cs="Times New Roman"/>
          <w:color w:val="000000"/>
        </w:rPr>
      </w:pPr>
      <w:r w:rsidRPr="007E08F7">
        <w:rPr>
          <w:rFonts w:asciiTheme="minorHAnsi" w:eastAsia="Aptos" w:hAnsiTheme="minorHAnsi" w:cs="Times New Roman"/>
          <w:color w:val="000000"/>
        </w:rPr>
        <w:t>pośredniego (np. wydatki rządu wywołane aktywnością władz regionu).</w:t>
      </w:r>
    </w:p>
    <w:p w14:paraId="06CCF48B" w14:textId="77777777" w:rsidR="004B12C4" w:rsidRPr="007E08F7" w:rsidRDefault="004B12C4" w:rsidP="004B12C4">
      <w:p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Wartość środków publicznych, które można potencjalnie skierować na realizację Strategii oszacowano przyjmując określone założenia w stosunku do:</w:t>
      </w:r>
    </w:p>
    <w:p w14:paraId="7FCE28D2" w14:textId="77777777" w:rsidR="004B12C4" w:rsidRPr="007E08F7" w:rsidRDefault="004B12C4">
      <w:pPr>
        <w:numPr>
          <w:ilvl w:val="0"/>
          <w:numId w:val="20"/>
        </w:num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teoretycznego potencjału inwestycyjnego pomorskich JST, przez który rozumie się kwotę, jaką jednostki te mogłyby przeznaczyć w okresie 2027-2035 na finansowanie nowych zadań inwestycyjnych, a także innych działań rozwojowych,</w:t>
      </w:r>
    </w:p>
    <w:p w14:paraId="23010690" w14:textId="77777777" w:rsidR="004B12C4" w:rsidRPr="007E08F7" w:rsidRDefault="004B12C4">
      <w:pPr>
        <w:numPr>
          <w:ilvl w:val="0"/>
          <w:numId w:val="20"/>
        </w:num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teoretycznych możliwości absorpcyjnych regionu związanych ze środkami UE, które będą dostępne w Polsce w latach 2028-2034,</w:t>
      </w:r>
    </w:p>
    <w:p w14:paraId="796588F7" w14:textId="36A56215" w:rsidR="004B12C4" w:rsidRPr="007E08F7" w:rsidRDefault="004B12C4">
      <w:pPr>
        <w:numPr>
          <w:ilvl w:val="0"/>
          <w:numId w:val="20"/>
        </w:numPr>
        <w:spacing w:before="120" w:after="120" w:line="288" w:lineRule="auto"/>
        <w:rPr>
          <w:rFonts w:asciiTheme="minorHAnsi" w:eastAsia="Aptos" w:hAnsiTheme="minorHAnsi" w:cs="Times New Roman"/>
          <w:color w:val="000000"/>
        </w:rPr>
      </w:pPr>
      <w:r w:rsidRPr="007E08F7">
        <w:rPr>
          <w:rFonts w:asciiTheme="minorHAnsi" w:eastAsia="Aptos" w:hAnsiTheme="minorHAnsi" w:cs="Times New Roman"/>
          <w:color w:val="000000"/>
        </w:rPr>
        <w:t>teoretycznego strumienia rządowych środków rozwojowych w województwie jako części strumienia całkowitych rządowych wydatków strukturalnych szacowanych dla</w:t>
      </w:r>
      <w:r w:rsidR="00CF1C03" w:rsidRPr="007E08F7">
        <w:rPr>
          <w:rFonts w:asciiTheme="minorHAnsi" w:eastAsia="Aptos" w:hAnsiTheme="minorHAnsi" w:cs="Times New Roman"/>
          <w:color w:val="000000"/>
        </w:rPr>
        <w:t> </w:t>
      </w:r>
      <w:r w:rsidRPr="007E08F7">
        <w:rPr>
          <w:rFonts w:asciiTheme="minorHAnsi" w:eastAsia="Aptos" w:hAnsiTheme="minorHAnsi" w:cs="Times New Roman"/>
          <w:color w:val="000000"/>
        </w:rPr>
        <w:t>Polski na lata 2028-2035.</w:t>
      </w:r>
    </w:p>
    <w:p w14:paraId="28940EA3" w14:textId="74A370EA" w:rsidR="004B12C4" w:rsidRPr="007E08F7" w:rsidRDefault="004B12C4" w:rsidP="00CF1C03">
      <w:pPr>
        <w:spacing w:before="120" w:after="120" w:line="288" w:lineRule="auto"/>
        <w:rPr>
          <w:rFonts w:asciiTheme="minorHAnsi" w:eastAsia="Aptos" w:hAnsiTheme="minorHAnsi" w:cs="Times New Roman"/>
          <w:b/>
          <w:bCs/>
        </w:rPr>
      </w:pPr>
      <w:r w:rsidRPr="007E08F7">
        <w:rPr>
          <w:rFonts w:asciiTheme="minorHAnsi" w:eastAsia="Aptos" w:hAnsiTheme="minorHAnsi" w:cs="Times New Roman"/>
          <w:color w:val="000000"/>
        </w:rPr>
        <w:t>Całkowita pula publicznych środków rozwojowych dostępnych w województwie pomorskim w latach 2027-2035 zostanie określona na późniejszym etapie prac.</w:t>
      </w:r>
      <w:r w:rsidRPr="007E08F7">
        <w:rPr>
          <w:rFonts w:asciiTheme="minorHAnsi" w:eastAsia="Aptos" w:hAnsiTheme="minorHAnsi" w:cs="Times New Roman"/>
          <w:b/>
          <w:bCs/>
          <w:color w:val="215E99" w:themeColor="text2" w:themeTint="BF"/>
        </w:rPr>
        <w:br w:type="page"/>
      </w:r>
    </w:p>
    <w:p w14:paraId="53024C32" w14:textId="77777777" w:rsidR="004B12C4" w:rsidRPr="007E08F7" w:rsidRDefault="004B12C4" w:rsidP="002774ED">
      <w:pPr>
        <w:pStyle w:val="Nagwek2"/>
      </w:pPr>
      <w:bookmarkStart w:id="105" w:name="_Toc239772119"/>
      <w:r w:rsidRPr="007E08F7">
        <w:lastRenderedPageBreak/>
        <w:t>Monitorowanie i ocena efektów realizacji</w:t>
      </w:r>
      <w:bookmarkEnd w:id="105"/>
    </w:p>
    <w:p w14:paraId="1A31F0DC" w14:textId="77777777" w:rsidR="004B12C4" w:rsidRPr="007E08F7" w:rsidRDefault="004B12C4">
      <w:pPr>
        <w:numPr>
          <w:ilvl w:val="0"/>
          <w:numId w:val="38"/>
        </w:numPr>
        <w:autoSpaceDE w:val="0"/>
        <w:autoSpaceDN w:val="0"/>
        <w:adjustRightInd w:val="0"/>
        <w:spacing w:before="120" w:after="120" w:line="288" w:lineRule="auto"/>
        <w:ind w:left="426" w:hanging="426"/>
        <w:rPr>
          <w:rFonts w:asciiTheme="minorHAnsi" w:eastAsia="Calibri" w:hAnsiTheme="minorHAnsi"/>
          <w:color w:val="000000"/>
          <w:kern w:val="0"/>
        </w:rPr>
      </w:pPr>
      <w:r w:rsidRPr="007E08F7">
        <w:rPr>
          <w:rFonts w:asciiTheme="minorHAnsi" w:eastAsia="Calibri" w:hAnsiTheme="minorHAnsi"/>
          <w:color w:val="000000"/>
          <w:kern w:val="0"/>
        </w:rPr>
        <w:t>Proces realizacji Strategii podlega monitorowaniu i okresowej ocenianie w ramach Pomorskiego Systemu Monitoringu i Ewaluacji (PSME).</w:t>
      </w:r>
    </w:p>
    <w:p w14:paraId="08F1E178" w14:textId="77777777" w:rsidR="004B12C4" w:rsidRPr="007E08F7" w:rsidRDefault="004B12C4">
      <w:pPr>
        <w:numPr>
          <w:ilvl w:val="0"/>
          <w:numId w:val="38"/>
        </w:numPr>
        <w:autoSpaceDE w:val="0"/>
        <w:autoSpaceDN w:val="0"/>
        <w:adjustRightInd w:val="0"/>
        <w:spacing w:before="120" w:after="120" w:line="288" w:lineRule="auto"/>
        <w:ind w:left="426" w:hanging="426"/>
        <w:rPr>
          <w:rFonts w:asciiTheme="minorHAnsi" w:eastAsia="Calibri" w:hAnsiTheme="minorHAnsi"/>
          <w:color w:val="000000"/>
          <w:kern w:val="0"/>
        </w:rPr>
      </w:pPr>
      <w:r w:rsidRPr="007E08F7">
        <w:rPr>
          <w:rFonts w:asciiTheme="minorHAnsi" w:eastAsia="Calibri" w:hAnsiTheme="minorHAnsi" w:cs="Times New Roman"/>
        </w:rPr>
        <w:t>Podstawowym celem funkcjonowania PSME jest efektywne wsparcie procesów decyzyjnych związanych z planowaniem rozwoju województwa.</w:t>
      </w:r>
    </w:p>
    <w:p w14:paraId="42637F40" w14:textId="77777777" w:rsidR="004B12C4" w:rsidRPr="007E08F7" w:rsidRDefault="004B12C4">
      <w:pPr>
        <w:numPr>
          <w:ilvl w:val="0"/>
          <w:numId w:val="38"/>
        </w:numPr>
        <w:autoSpaceDE w:val="0"/>
        <w:autoSpaceDN w:val="0"/>
        <w:adjustRightInd w:val="0"/>
        <w:spacing w:before="120" w:after="120" w:line="288" w:lineRule="auto"/>
        <w:ind w:left="426" w:hanging="426"/>
        <w:rPr>
          <w:rFonts w:asciiTheme="minorHAnsi" w:eastAsia="Calibri" w:hAnsiTheme="minorHAnsi"/>
          <w:color w:val="000000"/>
          <w:kern w:val="0"/>
        </w:rPr>
      </w:pPr>
      <w:r w:rsidRPr="007E08F7">
        <w:rPr>
          <w:rFonts w:asciiTheme="minorHAnsi" w:eastAsia="Calibri" w:hAnsiTheme="minorHAnsi" w:cs="Times New Roman"/>
        </w:rPr>
        <w:t>PSME tworzą jednostki pozyskujące, gromadzące, przetwarzające oraz analizujące dane i informacje w celu monitorowania i oceny efektów realizacji polityki regionalnej i przestrzennej województwa.</w:t>
      </w:r>
    </w:p>
    <w:p w14:paraId="131A4B5C" w14:textId="3E5DD7B8" w:rsidR="004E35AF" w:rsidRPr="007E08F7" w:rsidRDefault="004B12C4">
      <w:pPr>
        <w:numPr>
          <w:ilvl w:val="0"/>
          <w:numId w:val="38"/>
        </w:numPr>
        <w:autoSpaceDE w:val="0"/>
        <w:autoSpaceDN w:val="0"/>
        <w:adjustRightInd w:val="0"/>
        <w:spacing w:before="120" w:after="120" w:line="288" w:lineRule="auto"/>
        <w:ind w:left="426" w:hanging="426"/>
        <w:rPr>
          <w:rFonts w:asciiTheme="minorHAnsi" w:eastAsia="Calibri" w:hAnsiTheme="minorHAnsi" w:cs="Times New Roman"/>
        </w:rPr>
      </w:pPr>
      <w:r w:rsidRPr="007E08F7">
        <w:rPr>
          <w:rFonts w:asciiTheme="minorHAnsi" w:eastAsia="Calibri" w:hAnsiTheme="minorHAnsi" w:cs="Times New Roman"/>
        </w:rPr>
        <w:t>Postępy realizacji Strategii prezentuje dokument, który zostanie przygotowany minimum raz w czasie kadencji Sejmiku. Wnioski i rekomendacje wynikające z tego dokumentu mogą być przesłanką aktualizacji Strategii</w:t>
      </w:r>
      <w:r w:rsidR="007441DE" w:rsidRPr="007E08F7">
        <w:rPr>
          <w:rFonts w:asciiTheme="minorHAnsi" w:eastAsia="Calibri" w:hAnsiTheme="minorHAnsi" w:cs="Times New Roman"/>
        </w:rPr>
        <w:t>.</w:t>
      </w:r>
    </w:p>
    <w:p w14:paraId="31298F7A" w14:textId="77777777" w:rsidR="004E35AF" w:rsidRPr="007E08F7" w:rsidRDefault="004E35AF">
      <w:pPr>
        <w:rPr>
          <w:rFonts w:asciiTheme="minorHAnsi" w:eastAsia="Calibri" w:hAnsiTheme="minorHAnsi" w:cs="Times New Roman"/>
        </w:rPr>
      </w:pPr>
      <w:r w:rsidRPr="007E08F7">
        <w:rPr>
          <w:rFonts w:asciiTheme="minorHAnsi" w:eastAsia="Calibri" w:hAnsiTheme="minorHAnsi" w:cs="Times New Roman"/>
        </w:rPr>
        <w:br w:type="page"/>
      </w:r>
    </w:p>
    <w:p w14:paraId="34FCC601" w14:textId="7314002F" w:rsidR="00DA79EB" w:rsidRPr="007E08F7" w:rsidRDefault="00DA79EB" w:rsidP="00DA79EB">
      <w:pPr>
        <w:pStyle w:val="Nagwek1"/>
        <w:rPr>
          <w:rFonts w:eastAsia="Calibri"/>
        </w:rPr>
      </w:pPr>
      <w:bookmarkStart w:id="106" w:name="_Toc239772120"/>
      <w:r w:rsidRPr="007E08F7">
        <w:rPr>
          <w:rFonts w:eastAsia="Calibri"/>
        </w:rPr>
        <w:lastRenderedPageBreak/>
        <w:t>Spis rycin</w:t>
      </w:r>
      <w:bookmarkEnd w:id="106"/>
    </w:p>
    <w:p w14:paraId="2A9D0AE6" w14:textId="36D3D115" w:rsidR="000B5A32" w:rsidRPr="007E08F7" w:rsidRDefault="000B5A32" w:rsidP="00CF1C03">
      <w:pPr>
        <w:pStyle w:val="Spisilustracji"/>
        <w:tabs>
          <w:tab w:val="right" w:leader="dot" w:pos="9062"/>
        </w:tabs>
        <w:spacing w:before="120" w:after="120" w:line="288" w:lineRule="auto"/>
        <w:ind w:left="1418" w:hanging="1418"/>
        <w:rPr>
          <w:noProof/>
        </w:rPr>
      </w:pPr>
      <w:r w:rsidRPr="007E08F7">
        <w:rPr>
          <w:rFonts w:asciiTheme="minorHAnsi" w:eastAsia="Calibri" w:hAnsiTheme="minorHAnsi" w:cs="Times New Roman"/>
        </w:rPr>
        <w:fldChar w:fldCharType="begin"/>
      </w:r>
      <w:r w:rsidRPr="007E08F7">
        <w:rPr>
          <w:rFonts w:asciiTheme="minorHAnsi" w:eastAsia="Calibri" w:hAnsiTheme="minorHAnsi" w:cs="Times New Roman"/>
        </w:rPr>
        <w:instrText xml:space="preserve"> TOC \h \z \c "Rysunek" </w:instrText>
      </w:r>
      <w:r w:rsidRPr="007E08F7">
        <w:rPr>
          <w:rFonts w:asciiTheme="minorHAnsi" w:eastAsia="Calibri" w:hAnsiTheme="minorHAnsi" w:cs="Times New Roman"/>
        </w:rPr>
        <w:fldChar w:fldCharType="separate"/>
      </w:r>
      <w:hyperlink w:anchor="_Toc239689653" w:history="1">
        <w:r w:rsidRPr="007E08F7">
          <w:rPr>
            <w:rStyle w:val="Hipercze"/>
            <w:noProof/>
          </w:rPr>
          <w:t xml:space="preserve">Rysunek 1 </w:t>
        </w:r>
        <w:r w:rsidR="00CF1C03" w:rsidRPr="007E08F7">
          <w:rPr>
            <w:rStyle w:val="Hipercze"/>
            <w:noProof/>
          </w:rPr>
          <w:tab/>
        </w:r>
        <w:r w:rsidRPr="007E08F7">
          <w:rPr>
            <w:rStyle w:val="Hipercze"/>
            <w:noProof/>
          </w:rPr>
          <w:t>Obszary szczególnego zagrożenia powodzią oraz infrastruktura ochrony</w:t>
        </w:r>
        <w:r w:rsidR="00CF1C03" w:rsidRPr="007E08F7">
          <w:rPr>
            <w:rStyle w:val="Hipercze"/>
            <w:noProof/>
          </w:rPr>
          <w:t> </w:t>
        </w:r>
        <w:r w:rsidRPr="007E08F7">
          <w:rPr>
            <w:rStyle w:val="Hipercze"/>
            <w:noProof/>
          </w:rPr>
          <w:t>przeciwpowodziowej</w:t>
        </w:r>
        <w:r w:rsidRPr="007E08F7">
          <w:rPr>
            <w:noProof/>
            <w:webHidden/>
          </w:rPr>
          <w:tab/>
        </w:r>
        <w:r w:rsidRPr="007E08F7">
          <w:rPr>
            <w:noProof/>
            <w:webHidden/>
          </w:rPr>
          <w:fldChar w:fldCharType="begin"/>
        </w:r>
        <w:r w:rsidRPr="007E08F7">
          <w:rPr>
            <w:noProof/>
            <w:webHidden/>
          </w:rPr>
          <w:instrText xml:space="preserve"> PAGEREF _Toc239689653 \h </w:instrText>
        </w:r>
        <w:r w:rsidRPr="007E08F7">
          <w:rPr>
            <w:noProof/>
            <w:webHidden/>
          </w:rPr>
        </w:r>
        <w:r w:rsidRPr="007E08F7">
          <w:rPr>
            <w:noProof/>
            <w:webHidden/>
          </w:rPr>
          <w:fldChar w:fldCharType="separate"/>
        </w:r>
        <w:r w:rsidR="00393FFE">
          <w:rPr>
            <w:noProof/>
            <w:webHidden/>
          </w:rPr>
          <w:t>45</w:t>
        </w:r>
        <w:r w:rsidRPr="007E08F7">
          <w:rPr>
            <w:noProof/>
            <w:webHidden/>
          </w:rPr>
          <w:fldChar w:fldCharType="end"/>
        </w:r>
      </w:hyperlink>
    </w:p>
    <w:p w14:paraId="65B7DB7E" w14:textId="1604092C" w:rsidR="000B5A32" w:rsidRPr="007E08F7" w:rsidRDefault="000B5A32" w:rsidP="00CF1C03">
      <w:pPr>
        <w:pStyle w:val="Spisilustracji"/>
        <w:tabs>
          <w:tab w:val="right" w:leader="dot" w:pos="9062"/>
        </w:tabs>
        <w:spacing w:before="120" w:after="120" w:line="288" w:lineRule="auto"/>
        <w:ind w:left="1418" w:hanging="1418"/>
        <w:rPr>
          <w:noProof/>
        </w:rPr>
      </w:pPr>
      <w:hyperlink w:anchor="_Toc239689654" w:history="1">
        <w:r w:rsidRPr="007E08F7">
          <w:rPr>
            <w:rStyle w:val="Hipercze"/>
            <w:noProof/>
          </w:rPr>
          <w:t xml:space="preserve">Rysunek 2 </w:t>
        </w:r>
        <w:r w:rsidR="00CF1C03" w:rsidRPr="007E08F7">
          <w:rPr>
            <w:rStyle w:val="Hipercze"/>
            <w:noProof/>
          </w:rPr>
          <w:tab/>
        </w:r>
        <w:r w:rsidRPr="007E08F7">
          <w:rPr>
            <w:rStyle w:val="Hipercze"/>
            <w:noProof/>
          </w:rPr>
          <w:t>Model struktury funkcjonalno-przestrzennej regionu</w:t>
        </w:r>
        <w:r w:rsidRPr="007E08F7">
          <w:rPr>
            <w:noProof/>
            <w:webHidden/>
          </w:rPr>
          <w:tab/>
        </w:r>
        <w:r w:rsidRPr="007E08F7">
          <w:rPr>
            <w:noProof/>
            <w:webHidden/>
          </w:rPr>
          <w:fldChar w:fldCharType="begin"/>
        </w:r>
        <w:r w:rsidRPr="007E08F7">
          <w:rPr>
            <w:noProof/>
            <w:webHidden/>
          </w:rPr>
          <w:instrText xml:space="preserve"> PAGEREF _Toc239689654 \h </w:instrText>
        </w:r>
        <w:r w:rsidRPr="007E08F7">
          <w:rPr>
            <w:noProof/>
            <w:webHidden/>
          </w:rPr>
        </w:r>
        <w:r w:rsidRPr="007E08F7">
          <w:rPr>
            <w:noProof/>
            <w:webHidden/>
          </w:rPr>
          <w:fldChar w:fldCharType="separate"/>
        </w:r>
        <w:r w:rsidR="00393FFE">
          <w:rPr>
            <w:noProof/>
            <w:webHidden/>
          </w:rPr>
          <w:t>114</w:t>
        </w:r>
        <w:r w:rsidRPr="007E08F7">
          <w:rPr>
            <w:noProof/>
            <w:webHidden/>
          </w:rPr>
          <w:fldChar w:fldCharType="end"/>
        </w:r>
      </w:hyperlink>
    </w:p>
    <w:p w14:paraId="596C5B9F" w14:textId="662F1D89" w:rsidR="000B5A32" w:rsidRPr="007E08F7" w:rsidRDefault="000B5A32" w:rsidP="00CF1C03">
      <w:pPr>
        <w:pStyle w:val="Spisilustracji"/>
        <w:tabs>
          <w:tab w:val="right" w:leader="dot" w:pos="9062"/>
        </w:tabs>
        <w:spacing w:before="120" w:after="120" w:line="288" w:lineRule="auto"/>
        <w:ind w:left="1418" w:hanging="1418"/>
        <w:rPr>
          <w:noProof/>
        </w:rPr>
      </w:pPr>
      <w:hyperlink w:anchor="_Toc239689655" w:history="1">
        <w:r w:rsidRPr="007E08F7">
          <w:rPr>
            <w:rStyle w:val="Hipercze"/>
            <w:noProof/>
          </w:rPr>
          <w:t xml:space="preserve">Rysunek 3 </w:t>
        </w:r>
        <w:r w:rsidR="00CF1C03" w:rsidRPr="007E08F7">
          <w:rPr>
            <w:rStyle w:val="Hipercze"/>
            <w:noProof/>
          </w:rPr>
          <w:tab/>
        </w:r>
        <w:r w:rsidRPr="007E08F7">
          <w:rPr>
            <w:rStyle w:val="Hipercze"/>
            <w:noProof/>
          </w:rPr>
          <w:t>Ideogram kształtowania ładu przestrzennego Pomorskie 2035</w:t>
        </w:r>
        <w:r w:rsidRPr="007E08F7">
          <w:rPr>
            <w:noProof/>
            <w:webHidden/>
          </w:rPr>
          <w:tab/>
        </w:r>
        <w:r w:rsidRPr="007E08F7">
          <w:rPr>
            <w:noProof/>
            <w:webHidden/>
          </w:rPr>
          <w:fldChar w:fldCharType="begin"/>
        </w:r>
        <w:r w:rsidRPr="007E08F7">
          <w:rPr>
            <w:noProof/>
            <w:webHidden/>
          </w:rPr>
          <w:instrText xml:space="preserve"> PAGEREF _Toc239689655 \h </w:instrText>
        </w:r>
        <w:r w:rsidRPr="007E08F7">
          <w:rPr>
            <w:noProof/>
            <w:webHidden/>
          </w:rPr>
        </w:r>
        <w:r w:rsidRPr="007E08F7">
          <w:rPr>
            <w:noProof/>
            <w:webHidden/>
          </w:rPr>
          <w:fldChar w:fldCharType="separate"/>
        </w:r>
        <w:r w:rsidR="00393FFE">
          <w:rPr>
            <w:noProof/>
            <w:webHidden/>
          </w:rPr>
          <w:t>115</w:t>
        </w:r>
        <w:r w:rsidRPr="007E08F7">
          <w:rPr>
            <w:noProof/>
            <w:webHidden/>
          </w:rPr>
          <w:fldChar w:fldCharType="end"/>
        </w:r>
      </w:hyperlink>
    </w:p>
    <w:p w14:paraId="0F54AC2C" w14:textId="467DD117" w:rsidR="000150EA" w:rsidRPr="007E08F7" w:rsidRDefault="000B5A32" w:rsidP="00CF1C03">
      <w:pPr>
        <w:pStyle w:val="Spisilustracji"/>
        <w:tabs>
          <w:tab w:val="right" w:leader="dot" w:pos="9062"/>
        </w:tabs>
        <w:spacing w:before="120" w:after="120" w:line="288" w:lineRule="auto"/>
        <w:ind w:left="1418" w:hanging="1418"/>
        <w:rPr>
          <w:rFonts w:asciiTheme="minorHAnsi" w:eastAsia="Calibri" w:hAnsiTheme="minorHAnsi" w:cs="Times New Roman"/>
        </w:rPr>
      </w:pPr>
      <w:hyperlink w:anchor="_Toc239689656" w:history="1">
        <w:r w:rsidRPr="007E08F7">
          <w:rPr>
            <w:rStyle w:val="Hipercze"/>
            <w:noProof/>
          </w:rPr>
          <w:t xml:space="preserve">Rysunek 4 </w:t>
        </w:r>
        <w:r w:rsidR="00CF1C03" w:rsidRPr="007E08F7">
          <w:rPr>
            <w:rStyle w:val="Hipercze"/>
            <w:noProof/>
          </w:rPr>
          <w:tab/>
        </w:r>
        <w:r w:rsidRPr="007E08F7">
          <w:rPr>
            <w:rStyle w:val="Hipercze"/>
            <w:noProof/>
          </w:rPr>
          <w:t>Miejskie obszary funkcjonalne</w:t>
        </w:r>
        <w:r w:rsidRPr="007E08F7">
          <w:rPr>
            <w:noProof/>
            <w:webHidden/>
          </w:rPr>
          <w:tab/>
        </w:r>
        <w:r w:rsidRPr="007E08F7">
          <w:rPr>
            <w:noProof/>
            <w:webHidden/>
          </w:rPr>
          <w:fldChar w:fldCharType="begin"/>
        </w:r>
        <w:r w:rsidRPr="007E08F7">
          <w:rPr>
            <w:noProof/>
            <w:webHidden/>
          </w:rPr>
          <w:instrText xml:space="preserve"> PAGEREF _Toc239689656 \h </w:instrText>
        </w:r>
        <w:r w:rsidRPr="007E08F7">
          <w:rPr>
            <w:noProof/>
            <w:webHidden/>
          </w:rPr>
        </w:r>
        <w:r w:rsidRPr="007E08F7">
          <w:rPr>
            <w:noProof/>
            <w:webHidden/>
          </w:rPr>
          <w:fldChar w:fldCharType="separate"/>
        </w:r>
        <w:r w:rsidR="00393FFE">
          <w:rPr>
            <w:noProof/>
            <w:webHidden/>
          </w:rPr>
          <w:t>129</w:t>
        </w:r>
        <w:r w:rsidRPr="007E08F7">
          <w:rPr>
            <w:noProof/>
            <w:webHidden/>
          </w:rPr>
          <w:fldChar w:fldCharType="end"/>
        </w:r>
      </w:hyperlink>
      <w:r w:rsidRPr="007E08F7">
        <w:rPr>
          <w:rFonts w:asciiTheme="minorHAnsi" w:eastAsia="Calibri" w:hAnsiTheme="minorHAnsi" w:cs="Times New Roman"/>
        </w:rPr>
        <w:fldChar w:fldCharType="end"/>
      </w:r>
    </w:p>
    <w:sectPr w:rsidR="000150EA" w:rsidRPr="007E08F7" w:rsidSect="00B3693D">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353B5" w14:textId="77777777" w:rsidR="0050153B" w:rsidRDefault="0050153B" w:rsidP="00F371E3">
      <w:pPr>
        <w:spacing w:after="0" w:line="240" w:lineRule="auto"/>
      </w:pPr>
      <w:r>
        <w:separator/>
      </w:r>
    </w:p>
  </w:endnote>
  <w:endnote w:type="continuationSeparator" w:id="0">
    <w:p w14:paraId="2608CC08" w14:textId="77777777" w:rsidR="0050153B" w:rsidRDefault="0050153B" w:rsidP="00F37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Noto Sans Symbols2">
    <w:charset w:val="00"/>
    <w:family w:val="swiss"/>
    <w:pitch w:val="variable"/>
    <w:sig w:usb0="80000003" w:usb1="0200E3E4" w:usb2="00040020" w:usb3="00000000" w:csb0="00000001" w:csb1="00000000"/>
  </w:font>
  <w:font w:name="Lato,Lato,Lato,Garamond,Cambria">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Lato,Lato,Lato,Lato,Lato,Calibr">
    <w:altName w:val="Times New Roman"/>
    <w:panose1 w:val="00000000000000000000"/>
    <w:charset w:val="00"/>
    <w:family w:val="roman"/>
    <w:notTrueType/>
    <w:pitch w:val="default"/>
  </w:font>
  <w:font w:name="Lato,Lato,Lato,Lato,Garamond">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111999"/>
      <w:docPartObj>
        <w:docPartGallery w:val="Page Numbers (Bottom of Page)"/>
        <w:docPartUnique/>
      </w:docPartObj>
    </w:sdtPr>
    <w:sdtContent>
      <w:p w14:paraId="5D7B08B8" w14:textId="77777777" w:rsidR="002A0248" w:rsidRDefault="002A0248">
        <w:pPr>
          <w:pStyle w:val="Stopka"/>
          <w:jc w:val="center"/>
        </w:pPr>
        <w:r>
          <w:fldChar w:fldCharType="begin"/>
        </w:r>
        <w:r>
          <w:instrText>PAGE   \* MERGEFORMAT</w:instrText>
        </w:r>
        <w:r>
          <w:fldChar w:fldCharType="separate"/>
        </w:r>
        <w:r>
          <w:t>2</w:t>
        </w:r>
        <w:r>
          <w:fldChar w:fldCharType="end"/>
        </w:r>
      </w:p>
    </w:sdtContent>
  </w:sdt>
  <w:p w14:paraId="540A63D1" w14:textId="77777777" w:rsidR="002A0248" w:rsidRDefault="002A024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46585"/>
      <w:docPartObj>
        <w:docPartGallery w:val="Page Numbers (Bottom of Page)"/>
        <w:docPartUnique/>
      </w:docPartObj>
    </w:sdtPr>
    <w:sdtContent>
      <w:p w14:paraId="6E55E89F" w14:textId="3A56DEFC" w:rsidR="00423362" w:rsidRDefault="00423362">
        <w:pPr>
          <w:pStyle w:val="Stopka"/>
          <w:jc w:val="center"/>
        </w:pPr>
        <w:r>
          <w:fldChar w:fldCharType="begin"/>
        </w:r>
        <w:r>
          <w:instrText>PAGE   \* MERGEFORMAT</w:instrText>
        </w:r>
        <w:r>
          <w:fldChar w:fldCharType="separate"/>
        </w:r>
        <w:r>
          <w:t>2</w:t>
        </w:r>
        <w:r>
          <w:fldChar w:fldCharType="end"/>
        </w:r>
      </w:p>
    </w:sdtContent>
  </w:sdt>
  <w:p w14:paraId="54612654" w14:textId="77777777" w:rsidR="00423362" w:rsidRDefault="0042336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7F4C" w14:textId="6EC85295" w:rsidR="006D2494" w:rsidRPr="00A47156" w:rsidRDefault="006D2494" w:rsidP="00A4715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738908"/>
      <w:docPartObj>
        <w:docPartGallery w:val="Page Numbers (Bottom of Page)"/>
        <w:docPartUnique/>
      </w:docPartObj>
    </w:sdtPr>
    <w:sdtContent>
      <w:p w14:paraId="50C513EA" w14:textId="70C41448" w:rsidR="00B201A3" w:rsidRDefault="00B201A3">
        <w:pPr>
          <w:pStyle w:val="Stopka"/>
          <w:jc w:val="center"/>
        </w:pPr>
        <w:r>
          <w:fldChar w:fldCharType="begin"/>
        </w:r>
        <w:r>
          <w:instrText>PAGE   \* MERGEFORMAT</w:instrText>
        </w:r>
        <w:r>
          <w:fldChar w:fldCharType="separate"/>
        </w:r>
        <w:r>
          <w:t>2</w:t>
        </w:r>
        <w:r>
          <w:fldChar w:fldCharType="end"/>
        </w:r>
      </w:p>
    </w:sdtContent>
  </w:sdt>
  <w:p w14:paraId="5CA0D569" w14:textId="77777777" w:rsidR="00EA679B" w:rsidRDefault="00EA679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356960"/>
      <w:docPartObj>
        <w:docPartGallery w:val="Page Numbers (Bottom of Page)"/>
        <w:docPartUnique/>
      </w:docPartObj>
    </w:sdtPr>
    <w:sdtContent>
      <w:p w14:paraId="745DA99D" w14:textId="01E91845" w:rsidR="00423362" w:rsidRDefault="00423362">
        <w:pPr>
          <w:pStyle w:val="Stopka"/>
          <w:jc w:val="center"/>
        </w:pPr>
        <w:r>
          <w:fldChar w:fldCharType="begin"/>
        </w:r>
        <w:r>
          <w:instrText>PAGE   \* MERGEFORMAT</w:instrText>
        </w:r>
        <w:r>
          <w:fldChar w:fldCharType="separate"/>
        </w:r>
        <w:r>
          <w:t>2</w:t>
        </w:r>
        <w:r>
          <w:fldChar w:fldCharType="end"/>
        </w:r>
      </w:p>
    </w:sdtContent>
  </w:sdt>
  <w:p w14:paraId="5A0BD0EC" w14:textId="06CFDCA0" w:rsidR="00E14C9C" w:rsidRDefault="00E14C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D516F" w14:textId="77777777" w:rsidR="0050153B" w:rsidRDefault="0050153B" w:rsidP="00F371E3">
      <w:pPr>
        <w:spacing w:after="0" w:line="240" w:lineRule="auto"/>
      </w:pPr>
      <w:r>
        <w:separator/>
      </w:r>
    </w:p>
  </w:footnote>
  <w:footnote w:type="continuationSeparator" w:id="0">
    <w:p w14:paraId="232C19FD" w14:textId="77777777" w:rsidR="0050153B" w:rsidRDefault="0050153B" w:rsidP="00F371E3">
      <w:pPr>
        <w:spacing w:after="0" w:line="240" w:lineRule="auto"/>
      </w:pPr>
      <w:r>
        <w:continuationSeparator/>
      </w:r>
    </w:p>
  </w:footnote>
  <w:footnote w:id="1">
    <w:p w14:paraId="62021D8D" w14:textId="77777777" w:rsidR="00E52C92" w:rsidRDefault="00E52C92" w:rsidP="00E52C92">
      <w:pPr>
        <w:pStyle w:val="Tekstprzypisudolnego"/>
      </w:pPr>
      <w:r>
        <w:rPr>
          <w:rStyle w:val="Odwoanieprzypisudolnego"/>
        </w:rPr>
        <w:footnoteRef/>
      </w:r>
      <w:r>
        <w:t xml:space="preserve"> </w:t>
      </w:r>
      <w:r w:rsidRPr="006731E3">
        <w:t>Krajowy Plan w dziedzinie Energii i Klimatu do 2030 r. z perspektywą do 2040 r.</w:t>
      </w:r>
      <w:r>
        <w:t xml:space="preserve"> zakłada wzrost z 17,7% w 2024 r. do 30-32% udziału produkcji energii z OZE w końcowym zużyciu energii brutto w 2030 r.,</w:t>
      </w:r>
      <w:r w:rsidRPr="00E1400F">
        <w:t xml:space="preserve"> </w:t>
      </w:r>
      <w:r>
        <w:t>co wnosi istotny wkład do unijnego celu OZE określonego na poziomie 42,5%.</w:t>
      </w:r>
    </w:p>
  </w:footnote>
  <w:footnote w:id="2">
    <w:p w14:paraId="06349A3F" w14:textId="77777777" w:rsidR="00E52C92" w:rsidRDefault="00E52C92" w:rsidP="00E52C92">
      <w:pPr>
        <w:pStyle w:val="Tekstprzypisudolnego"/>
      </w:pPr>
      <w:r>
        <w:rPr>
          <w:rStyle w:val="Odwoanieprzypisudolnego"/>
        </w:rPr>
        <w:footnoteRef/>
      </w:r>
      <w:r>
        <w:t xml:space="preserve"> </w:t>
      </w:r>
      <w:r w:rsidRPr="00963272">
        <w:t>https://crn.pl/aktualnosci/liczba-atakow-na-polskie-firmy-wzrosla-o-50-proc-cyberataki-w-polsce/</w:t>
      </w:r>
    </w:p>
  </w:footnote>
  <w:footnote w:id="3">
    <w:p w14:paraId="2B0E0535" w14:textId="77777777" w:rsidR="00E52C92" w:rsidRDefault="00E52C92" w:rsidP="00E52C92">
      <w:pPr>
        <w:pStyle w:val="Tekstprzypisudolnego"/>
      </w:pPr>
      <w:r>
        <w:rPr>
          <w:rStyle w:val="Odwoanieprzypisudolnego"/>
        </w:rPr>
        <w:footnoteRef/>
      </w:r>
      <w:r>
        <w:t xml:space="preserve"> </w:t>
      </w:r>
      <w:r w:rsidRPr="0006713D">
        <w:rPr>
          <w:rFonts w:asciiTheme="minorHAnsi" w:hAnsiTheme="minorHAnsi" w:cstheme="minorHAnsi"/>
        </w:rPr>
        <w:t>Wydajność pracy m</w:t>
      </w:r>
      <w:r w:rsidRPr="0006713D">
        <w:rPr>
          <w:rFonts w:asciiTheme="minorHAnsi" w:hAnsiTheme="minorHAnsi" w:cstheme="minorHAnsi"/>
          <w:bCs/>
        </w:rPr>
        <w:t>ierzona wartością dodaną brutto na 1 pracującego</w:t>
      </w:r>
      <w:r>
        <w:rPr>
          <w:rFonts w:asciiTheme="minorHAnsi" w:hAnsiTheme="minorHAnsi" w:cstheme="minorHAnsi"/>
          <w:bCs/>
        </w:rPr>
        <w:t>.</w:t>
      </w:r>
    </w:p>
  </w:footnote>
  <w:footnote w:id="4">
    <w:p w14:paraId="53EA7D12" w14:textId="77777777" w:rsidR="00E52C92" w:rsidRPr="007B292B" w:rsidRDefault="00E52C92" w:rsidP="00E52C92">
      <w:pPr>
        <w:pStyle w:val="Tekstprzypisudolnego"/>
      </w:pPr>
      <w:r w:rsidRPr="007B292B">
        <w:rPr>
          <w:rStyle w:val="Odwoanieprzypisudolnego"/>
        </w:rPr>
        <w:footnoteRef/>
      </w:r>
      <w:r w:rsidRPr="007B292B">
        <w:t xml:space="preserve"> </w:t>
      </w:r>
      <w:r w:rsidRPr="00873B03">
        <w:t xml:space="preserve">Wg stanu na 20.02.2026 r. Stanowiły 3,8% zasobów krajowych. Źródło: </w:t>
      </w:r>
      <w:hyperlink r:id="rId1" w:history="1">
        <w:r w:rsidRPr="00873B03">
          <w:rPr>
            <w:rStyle w:val="Hipercze"/>
          </w:rPr>
          <w:t>https://www.gov.pl/web/ijhars/udostepnianie-informacji-o-producentach-w-rolnictwie-ekologicznym-1</w:t>
        </w:r>
      </w:hyperlink>
    </w:p>
  </w:footnote>
  <w:footnote w:id="5">
    <w:p w14:paraId="65CD0BEE" w14:textId="77777777" w:rsidR="00E52C92" w:rsidRDefault="00E52C92" w:rsidP="00E52C92">
      <w:pPr>
        <w:pStyle w:val="Tekstprzypisudolnego"/>
      </w:pPr>
      <w:r>
        <w:rPr>
          <w:rStyle w:val="Odwoanieprzypisudolnego"/>
        </w:rPr>
        <w:footnoteRef/>
      </w:r>
      <w:r>
        <w:t xml:space="preserve"> Obliczenia własne za 2024 r. na podstawie d</w:t>
      </w:r>
      <w:r w:rsidRPr="00225FF3">
        <w:t>an</w:t>
      </w:r>
      <w:r>
        <w:t xml:space="preserve">ych </w:t>
      </w:r>
      <w:r w:rsidRPr="00225FF3">
        <w:t>Izby Administracji Skarbowej w Warszawie</w:t>
      </w:r>
    </w:p>
  </w:footnote>
  <w:footnote w:id="6">
    <w:p w14:paraId="064F94FD" w14:textId="77777777" w:rsidR="00E52C92" w:rsidRDefault="00E52C92" w:rsidP="00E52C92">
      <w:pPr>
        <w:pStyle w:val="Tekstprzypisudolnego"/>
      </w:pPr>
      <w:r>
        <w:rPr>
          <w:rStyle w:val="Odwoanieprzypisudolnego"/>
        </w:rPr>
        <w:footnoteRef/>
      </w:r>
      <w:r>
        <w:t xml:space="preserve"> </w:t>
      </w:r>
      <w:hyperlink r:id="rId2" w:history="1">
        <w:r w:rsidRPr="00F22AC6">
          <w:rPr>
            <w:rStyle w:val="Hipercze"/>
          </w:rPr>
          <w:t>https://ppg.ibngr.pl/wp-content/uploads/2026/04/puls-gospodarczy-pomorza-za-2025-rok.pdf</w:t>
        </w:r>
      </w:hyperlink>
    </w:p>
  </w:footnote>
  <w:footnote w:id="7">
    <w:p w14:paraId="36135420" w14:textId="77777777" w:rsidR="00E52C92" w:rsidRDefault="00E52C92" w:rsidP="00E52C92">
      <w:pPr>
        <w:pStyle w:val="Tekstprzypisudolnego"/>
      </w:pPr>
      <w:r>
        <w:rPr>
          <w:rStyle w:val="Odwoanieprzypisudolnego"/>
        </w:rPr>
        <w:footnoteRef/>
      </w:r>
      <w:r>
        <w:t xml:space="preserve"> </w:t>
      </w:r>
      <w:r w:rsidRPr="00C771CC">
        <w:t>Źródło: https://ec.europa.eu/assets/rtd/ris/2025/ec_rtd_ris-regional-profile-pl.pdf</w:t>
      </w:r>
    </w:p>
  </w:footnote>
  <w:footnote w:id="8">
    <w:p w14:paraId="1E8F1B88" w14:textId="77777777" w:rsidR="00E52C92" w:rsidRDefault="00E52C92" w:rsidP="00E52C92">
      <w:pPr>
        <w:pStyle w:val="Tekstprzypisudolnego"/>
      </w:pPr>
      <w:r w:rsidRPr="00E46F0F">
        <w:rPr>
          <w:rStyle w:val="Odwoanieprzypisudolnego"/>
        </w:rPr>
        <w:footnoteRef/>
      </w:r>
      <w:r w:rsidRPr="00E46F0F">
        <w:t xml:space="preserve"> Załącznik do Uchwały Nr 580/548/24 Zarządu Województwa Pomorskiego z dnia 16 maja 2024 r. Lista branż kluczowych dla gospodarki województwa pomorskiego z uwzględnieniem specyfiki </w:t>
      </w:r>
      <w:proofErr w:type="spellStart"/>
      <w:r w:rsidRPr="00E46F0F">
        <w:t>subregionalnej</w:t>
      </w:r>
      <w:proofErr w:type="spellEnd"/>
      <w:r w:rsidRPr="00E46F0F">
        <w:t>.</w:t>
      </w:r>
    </w:p>
  </w:footnote>
  <w:footnote w:id="9">
    <w:p w14:paraId="731FE3F4" w14:textId="77777777" w:rsidR="00E52C92" w:rsidRDefault="00E52C92" w:rsidP="00E52C92">
      <w:pPr>
        <w:pStyle w:val="Tekstprzypisudolnego"/>
      </w:pPr>
      <w:r>
        <w:rPr>
          <w:rStyle w:val="Odwoanieprzypisudolnego"/>
        </w:rPr>
        <w:footnoteRef/>
      </w:r>
      <w:r>
        <w:t xml:space="preserve"> </w:t>
      </w:r>
      <w:r w:rsidRPr="00882A9A">
        <w:t>https://gospodarka.pomorskie.eu/wp-content/uploads/2026/05/ENERGETYCZNE-JUTRO-WOJEWODZTWA-POMORSKIEGO.pdf</w:t>
      </w:r>
    </w:p>
  </w:footnote>
  <w:footnote w:id="10">
    <w:p w14:paraId="297906A5" w14:textId="77777777" w:rsidR="00E52C92" w:rsidRDefault="00E52C92" w:rsidP="00E52C92">
      <w:pPr>
        <w:pStyle w:val="Tekstprzypisudolnego"/>
      </w:pPr>
      <w:r>
        <w:rPr>
          <w:rStyle w:val="Odwoanieprzypisudolnego"/>
        </w:rPr>
        <w:footnoteRef/>
      </w:r>
      <w:r>
        <w:t xml:space="preserve"> Ibidem.</w:t>
      </w:r>
    </w:p>
  </w:footnote>
  <w:footnote w:id="11">
    <w:p w14:paraId="2300BD49" w14:textId="77777777" w:rsidR="00E52C92" w:rsidRDefault="00E52C92" w:rsidP="00E52C92">
      <w:pPr>
        <w:pStyle w:val="Tekstprzypisudolnego"/>
      </w:pPr>
      <w:r>
        <w:rPr>
          <w:rStyle w:val="Odwoanieprzypisudolnego"/>
        </w:rPr>
        <w:footnoteRef/>
      </w:r>
      <w:r>
        <w:t xml:space="preserve"> Ibidem.</w:t>
      </w:r>
    </w:p>
  </w:footnote>
  <w:footnote w:id="12">
    <w:p w14:paraId="6E6A6F16" w14:textId="77777777" w:rsidR="00E52C92" w:rsidRDefault="00E52C92" w:rsidP="00E52C92">
      <w:pPr>
        <w:pStyle w:val="Tekstprzypisudolnego"/>
      </w:pPr>
      <w:r>
        <w:rPr>
          <w:rStyle w:val="Odwoanieprzypisudolnego"/>
        </w:rPr>
        <w:footnoteRef/>
      </w:r>
      <w:r>
        <w:t xml:space="preserve"> Wg stanu na 31.08.2026 r.</w:t>
      </w:r>
      <w:r w:rsidRPr="005069FA">
        <w:t xml:space="preserve"> </w:t>
      </w:r>
      <w:r w:rsidRPr="00D438CA">
        <w:t>Dane z bazy K</w:t>
      </w:r>
      <w:r>
        <w:t>rajowego Ośrodka Wsparcia Rolnictwa.</w:t>
      </w:r>
    </w:p>
  </w:footnote>
  <w:footnote w:id="13">
    <w:p w14:paraId="04348978" w14:textId="77777777" w:rsidR="00E52C92" w:rsidRDefault="00E52C92" w:rsidP="00E52C92">
      <w:pPr>
        <w:pStyle w:val="Tekstprzypisudolnego"/>
      </w:pPr>
      <w:r>
        <w:rPr>
          <w:rStyle w:val="Odwoanieprzypisudolnego"/>
        </w:rPr>
        <w:footnoteRef/>
      </w:r>
      <w:r>
        <w:t xml:space="preserve"> Ibidem.</w:t>
      </w:r>
    </w:p>
  </w:footnote>
  <w:footnote w:id="14">
    <w:p w14:paraId="6E8A786A" w14:textId="77777777" w:rsidR="00E52C92" w:rsidRDefault="00E52C92" w:rsidP="00E52C92">
      <w:pPr>
        <w:pStyle w:val="Tekstprzypisudolnego"/>
      </w:pPr>
      <w:r>
        <w:rPr>
          <w:rStyle w:val="Odwoanieprzypisudolnego"/>
        </w:rPr>
        <w:footnoteRef/>
      </w:r>
      <w:r>
        <w:t xml:space="preserve"> </w:t>
      </w:r>
      <w:r>
        <w:rPr>
          <w:rFonts w:asciiTheme="minorHAnsi" w:eastAsia="Times New Roman" w:hAnsiTheme="minorHAnsi" w:cs="Times New Roman"/>
          <w:kern w:val="0"/>
          <w:lang w:eastAsia="pl-PL"/>
          <w14:ligatures w14:val="none"/>
        </w:rPr>
        <w:t xml:space="preserve">Wśród nich jest </w:t>
      </w:r>
      <w:r w:rsidRPr="00554E8C">
        <w:rPr>
          <w:rFonts w:asciiTheme="minorHAnsi" w:eastAsia="Times New Roman" w:hAnsiTheme="minorHAnsi" w:cs="Times New Roman"/>
          <w:kern w:val="0"/>
          <w:lang w:eastAsia="pl-PL"/>
          <w14:ligatures w14:val="none"/>
        </w:rPr>
        <w:t>Słupski Klaster Bioenergetyczny</w:t>
      </w:r>
      <w:r>
        <w:rPr>
          <w:rFonts w:asciiTheme="minorHAnsi" w:eastAsia="Times New Roman" w:hAnsiTheme="minorHAnsi" w:cs="Times New Roman"/>
          <w:kern w:val="0"/>
          <w:lang w:eastAsia="pl-PL"/>
          <w14:ligatures w14:val="none"/>
        </w:rPr>
        <w:t xml:space="preserve"> oraz K</w:t>
      </w:r>
      <w:r w:rsidRPr="00EB01E8">
        <w:rPr>
          <w:rFonts w:asciiTheme="minorHAnsi" w:eastAsia="Times New Roman" w:hAnsiTheme="minorHAnsi" w:cs="Times New Roman"/>
          <w:kern w:val="0"/>
          <w:lang w:eastAsia="pl-PL"/>
          <w14:ligatures w14:val="none"/>
        </w:rPr>
        <w:t>last</w:t>
      </w:r>
      <w:r>
        <w:rPr>
          <w:rFonts w:asciiTheme="minorHAnsi" w:eastAsia="Times New Roman" w:hAnsiTheme="minorHAnsi" w:cs="Times New Roman"/>
          <w:kern w:val="0"/>
          <w:lang w:eastAsia="pl-PL"/>
          <w14:ligatures w14:val="none"/>
        </w:rPr>
        <w:t>ry</w:t>
      </w:r>
      <w:r w:rsidRPr="00EB01E8">
        <w:rPr>
          <w:rFonts w:asciiTheme="minorHAnsi" w:eastAsia="Times New Roman" w:hAnsiTheme="minorHAnsi" w:cs="Times New Roman"/>
          <w:kern w:val="0"/>
          <w:lang w:eastAsia="pl-PL"/>
          <w14:ligatures w14:val="none"/>
        </w:rPr>
        <w:t xml:space="preserve"> </w:t>
      </w:r>
      <w:r>
        <w:rPr>
          <w:rFonts w:asciiTheme="minorHAnsi" w:eastAsia="Times New Roman" w:hAnsiTheme="minorHAnsi" w:cs="Times New Roman"/>
          <w:kern w:val="0"/>
          <w:lang w:eastAsia="pl-PL"/>
          <w14:ligatures w14:val="none"/>
        </w:rPr>
        <w:t>E</w:t>
      </w:r>
      <w:r w:rsidRPr="00EB01E8">
        <w:rPr>
          <w:rFonts w:asciiTheme="minorHAnsi" w:eastAsia="Times New Roman" w:hAnsiTheme="minorHAnsi" w:cs="Times New Roman"/>
          <w:kern w:val="0"/>
          <w:lang w:eastAsia="pl-PL"/>
          <w14:ligatures w14:val="none"/>
        </w:rPr>
        <w:t>nergii</w:t>
      </w:r>
      <w:r>
        <w:rPr>
          <w:rFonts w:asciiTheme="minorHAnsi" w:eastAsia="Times New Roman" w:hAnsiTheme="minorHAnsi" w:cs="Times New Roman"/>
          <w:kern w:val="0"/>
          <w:lang w:eastAsia="pl-PL"/>
          <w14:ligatures w14:val="none"/>
        </w:rPr>
        <w:t>:</w:t>
      </w:r>
      <w:r w:rsidRPr="00554E8C">
        <w:rPr>
          <w:rFonts w:asciiTheme="minorHAnsi" w:eastAsia="Times New Roman" w:hAnsiTheme="minorHAnsi" w:cs="Times New Roman"/>
          <w:kern w:val="0"/>
          <w:lang w:eastAsia="pl-PL"/>
          <w14:ligatures w14:val="none"/>
        </w:rPr>
        <w:t xml:space="preserve"> Gdański</w:t>
      </w:r>
      <w:r>
        <w:rPr>
          <w:rFonts w:asciiTheme="minorHAnsi" w:eastAsia="Times New Roman" w:hAnsiTheme="minorHAnsi" w:cs="Times New Roman"/>
          <w:kern w:val="0"/>
          <w:lang w:eastAsia="pl-PL"/>
          <w14:ligatures w14:val="none"/>
        </w:rPr>
        <w:t xml:space="preserve">, </w:t>
      </w:r>
      <w:r w:rsidRPr="00DB5B13">
        <w:rPr>
          <w:rFonts w:asciiTheme="minorHAnsi" w:eastAsia="Times New Roman" w:hAnsiTheme="minorHAnsi" w:cs="Times New Roman"/>
          <w:kern w:val="0"/>
          <w:lang w:eastAsia="pl-PL"/>
          <w14:ligatures w14:val="none"/>
        </w:rPr>
        <w:t>Kwidzyński</w:t>
      </w:r>
      <w:r>
        <w:rPr>
          <w:rFonts w:asciiTheme="minorHAnsi" w:eastAsia="Times New Roman" w:hAnsiTheme="minorHAnsi" w:cs="Times New Roman"/>
          <w:kern w:val="0"/>
          <w:lang w:eastAsia="pl-PL"/>
          <w14:ligatures w14:val="none"/>
        </w:rPr>
        <w:t xml:space="preserve">, </w:t>
      </w:r>
      <w:r w:rsidRPr="00EB01E8">
        <w:rPr>
          <w:rFonts w:asciiTheme="minorHAnsi" w:eastAsia="Times New Roman" w:hAnsiTheme="minorHAnsi" w:cs="Times New Roman"/>
          <w:kern w:val="0"/>
          <w:lang w:eastAsia="pl-PL"/>
          <w14:ligatures w14:val="none"/>
        </w:rPr>
        <w:t>Żuławski</w:t>
      </w:r>
      <w:r>
        <w:rPr>
          <w:rFonts w:asciiTheme="minorHAnsi" w:eastAsia="Times New Roman" w:hAnsiTheme="minorHAnsi" w:cs="Times New Roman"/>
          <w:kern w:val="0"/>
          <w:lang w:eastAsia="pl-PL"/>
          <w14:ligatures w14:val="none"/>
        </w:rPr>
        <w:t xml:space="preserve">, </w:t>
      </w:r>
      <w:r w:rsidRPr="00EB01E8">
        <w:rPr>
          <w:rFonts w:asciiTheme="minorHAnsi" w:eastAsia="Times New Roman" w:hAnsiTheme="minorHAnsi" w:cs="Times New Roman"/>
          <w:kern w:val="0"/>
          <w:lang w:eastAsia="pl-PL"/>
          <w14:ligatures w14:val="none"/>
        </w:rPr>
        <w:t>Zielone Powiśle</w:t>
      </w:r>
      <w:r>
        <w:rPr>
          <w:rFonts w:asciiTheme="minorHAnsi" w:eastAsia="Times New Roman" w:hAnsiTheme="minorHAnsi" w:cs="Times New Roman"/>
          <w:kern w:val="0"/>
          <w:lang w:eastAsia="pl-PL"/>
          <w14:ligatures w14:val="none"/>
        </w:rPr>
        <w:t>, Przechlewski,</w:t>
      </w:r>
      <w:r w:rsidRPr="00DB5B13">
        <w:rPr>
          <w:rFonts w:asciiTheme="minorHAnsi" w:eastAsia="Times New Roman" w:hAnsiTheme="minorHAnsi" w:cs="Times New Roman"/>
          <w:kern w:val="0"/>
          <w:lang w:eastAsia="pl-PL"/>
          <w14:ligatures w14:val="none"/>
        </w:rPr>
        <w:t xml:space="preserve"> </w:t>
      </w:r>
      <w:proofErr w:type="spellStart"/>
      <w:r w:rsidRPr="00DB5B13">
        <w:rPr>
          <w:rFonts w:asciiTheme="minorHAnsi" w:eastAsia="Times New Roman" w:hAnsiTheme="minorHAnsi" w:cs="Times New Roman"/>
          <w:kern w:val="0"/>
          <w:lang w:eastAsia="pl-PL"/>
          <w14:ligatures w14:val="none"/>
        </w:rPr>
        <w:t>energyREGION</w:t>
      </w:r>
      <w:proofErr w:type="spellEnd"/>
      <w:r w:rsidRPr="00DB5B13">
        <w:rPr>
          <w:rFonts w:asciiTheme="minorHAnsi" w:eastAsia="Times New Roman" w:hAnsiTheme="minorHAnsi" w:cs="Times New Roman"/>
          <w:kern w:val="0"/>
          <w:lang w:eastAsia="pl-PL"/>
          <w14:ligatures w14:val="none"/>
        </w:rPr>
        <w:t xml:space="preserve"> Gajewo</w:t>
      </w:r>
      <w:r>
        <w:rPr>
          <w:rFonts w:asciiTheme="minorHAnsi" w:eastAsia="Times New Roman" w:hAnsiTheme="minorHAnsi" w:cs="Times New Roman"/>
          <w:kern w:val="0"/>
          <w:lang w:eastAsia="pl-PL"/>
          <w14:ligatures w14:val="none"/>
        </w:rPr>
        <w:t>,</w:t>
      </w:r>
      <w:r w:rsidRPr="00DB5B13">
        <w:t xml:space="preserve"> </w:t>
      </w:r>
      <w:r w:rsidRPr="00DB5B13">
        <w:rPr>
          <w:rFonts w:asciiTheme="minorHAnsi" w:eastAsia="Times New Roman" w:hAnsiTheme="minorHAnsi" w:cs="Times New Roman"/>
          <w:kern w:val="0"/>
          <w:lang w:eastAsia="pl-PL"/>
          <w14:ligatures w14:val="none"/>
        </w:rPr>
        <w:t>Gniewińsk</w:t>
      </w:r>
      <w:r>
        <w:rPr>
          <w:rFonts w:asciiTheme="minorHAnsi" w:eastAsia="Times New Roman" w:hAnsiTheme="minorHAnsi" w:cs="Times New Roman"/>
          <w:kern w:val="0"/>
          <w:lang w:eastAsia="pl-PL"/>
          <w14:ligatures w14:val="none"/>
        </w:rPr>
        <w:t>i i Pelplin.</w:t>
      </w:r>
    </w:p>
  </w:footnote>
  <w:footnote w:id="15">
    <w:p w14:paraId="513A60B6" w14:textId="77777777" w:rsidR="00E52C92" w:rsidRDefault="00E52C92" w:rsidP="00E52C92">
      <w:pPr>
        <w:pStyle w:val="Tekstprzypisudolnego"/>
      </w:pPr>
      <w:r>
        <w:rPr>
          <w:rStyle w:val="Odwoanieprzypisudolnego"/>
        </w:rPr>
        <w:footnoteRef/>
      </w:r>
      <w:r>
        <w:t xml:space="preserve"> </w:t>
      </w:r>
      <w:r w:rsidRPr="00554E8C">
        <w:t>https://www.imp.gda.pl/bkee/</w:t>
      </w:r>
    </w:p>
  </w:footnote>
  <w:footnote w:id="16">
    <w:p w14:paraId="479CF6AA" w14:textId="1DB29DCA" w:rsidR="00E52C92" w:rsidRPr="007B292B" w:rsidRDefault="00E52C92" w:rsidP="00E52C92">
      <w:pPr>
        <w:pStyle w:val="Tekstprzypisudolnego"/>
      </w:pPr>
      <w:r w:rsidRPr="007B292B">
        <w:rPr>
          <w:rStyle w:val="Odwoanieprzypisudolnego"/>
        </w:rPr>
        <w:footnoteRef/>
      </w:r>
      <w:r w:rsidRPr="007B292B">
        <w:t xml:space="preserve"> np. Eko Dolina w Łężycach koło Gdyni (biogaz) czy Zakład Utylizacyjny w Gdańsku (kompost). Rocznie z</w:t>
      </w:r>
      <w:r w:rsidR="00150D5F">
        <w:t> </w:t>
      </w:r>
      <w:r w:rsidRPr="007B292B">
        <w:t>biogazu w Eko Dolinie wytwarzana jest taka ilość energii elektrycznej, która pokrywa roczne zapotrzebowanie 1780 gospodarstw domowych.</w:t>
      </w:r>
    </w:p>
  </w:footnote>
  <w:footnote w:id="17">
    <w:p w14:paraId="6BAFBBB6" w14:textId="77777777" w:rsidR="00E52C92" w:rsidRDefault="00E52C92" w:rsidP="00E52C92">
      <w:pPr>
        <w:pStyle w:val="Tekstprzypisudolnego"/>
      </w:pPr>
      <w:r>
        <w:rPr>
          <w:rStyle w:val="Odwoanieprzypisudolnego"/>
        </w:rPr>
        <w:footnoteRef/>
      </w:r>
      <w:r>
        <w:t xml:space="preserve"> </w:t>
      </w:r>
      <w:r w:rsidRPr="0053542B">
        <w:t>Badanie dotyczące identyfikacji luk kompetencyjnych dla poszczególnych Inteligentnych Specjalizacji Pomorza i branż kluczowych dla gospodarki województwa pomorskiego</w:t>
      </w:r>
      <w:r>
        <w:t>, 2025, UMWP, Gdańsk</w:t>
      </w:r>
    </w:p>
  </w:footnote>
  <w:footnote w:id="18">
    <w:p w14:paraId="4FC11ACB" w14:textId="77777777" w:rsidR="00E52C92" w:rsidRDefault="00E52C92" w:rsidP="00E52C92">
      <w:pPr>
        <w:pStyle w:val="Tekstprzypisudolnego"/>
      </w:pPr>
      <w:r>
        <w:rPr>
          <w:rStyle w:val="Odwoanieprzypisudolnego"/>
        </w:rPr>
        <w:footnoteRef/>
      </w:r>
      <w:r>
        <w:t xml:space="preserve"> </w:t>
      </w:r>
      <w:r w:rsidRPr="0065424F">
        <w:t>https://ranking.perspektywy.pl/ranking-uczelni-akademickich/</w:t>
      </w:r>
    </w:p>
  </w:footnote>
  <w:footnote w:id="19">
    <w:p w14:paraId="3E2DCA51" w14:textId="77777777" w:rsidR="00E52C92" w:rsidRDefault="00E52C92" w:rsidP="00E52C92">
      <w:pPr>
        <w:pStyle w:val="Tekstprzypisudolnego"/>
      </w:pPr>
      <w:r>
        <w:rPr>
          <w:rStyle w:val="Odwoanieprzypisudolnego"/>
        </w:rPr>
        <w:footnoteRef/>
      </w:r>
      <w:r>
        <w:t xml:space="preserve"> </w:t>
      </w:r>
      <w:r w:rsidRPr="0096506E">
        <w:t>Dane własne Departamentu Turystyki i Sportu UMWP pozyskane z urzędów gmin</w:t>
      </w:r>
    </w:p>
  </w:footnote>
  <w:footnote w:id="20">
    <w:p w14:paraId="7DB766D4" w14:textId="77777777" w:rsidR="00E52C92" w:rsidRDefault="00E52C92" w:rsidP="00E52C92">
      <w:pPr>
        <w:pStyle w:val="Tekstprzypisudolnego"/>
      </w:pPr>
      <w:r>
        <w:rPr>
          <w:rStyle w:val="Odwoanieprzypisudolnego"/>
        </w:rPr>
        <w:footnoteRef/>
      </w:r>
      <w:r>
        <w:t xml:space="preserve"> Obiekty hotelarskie, które posiadają oficjalnie nadaną kategorię określającą ich standard. Zalicza się do nich: hotele, motele, pensjonaty, kempingi, domy wycieczkowe, schroniska młodzieżowe, schroniska oraz pola biwakowe</w:t>
      </w:r>
    </w:p>
  </w:footnote>
  <w:footnote w:id="21">
    <w:p w14:paraId="7FF0D84F" w14:textId="77777777" w:rsidR="00E52C92" w:rsidRDefault="00E52C92" w:rsidP="00E52C92">
      <w:pPr>
        <w:pStyle w:val="Tekstprzypisudolnego"/>
      </w:pPr>
      <w:r>
        <w:rPr>
          <w:rStyle w:val="Odwoanieprzypisudolnego"/>
        </w:rPr>
        <w:footnoteRef/>
      </w:r>
      <w:r>
        <w:t xml:space="preserve"> </w:t>
      </w:r>
      <w:r w:rsidRPr="00101630">
        <w:t>https://businessinsider.com.pl/nieruchomosci/najem-krotkoterminowy-w-polsce-bije-rekordy-boom-na-apartamenty-trwa/d2wpfmp</w:t>
      </w:r>
    </w:p>
  </w:footnote>
  <w:footnote w:id="22">
    <w:p w14:paraId="55A7544C" w14:textId="77777777" w:rsidR="00E52C92" w:rsidRDefault="00E52C92" w:rsidP="00E52C92">
      <w:pPr>
        <w:pStyle w:val="Tekstprzypisudolnego"/>
      </w:pPr>
      <w:r>
        <w:rPr>
          <w:rStyle w:val="Odwoanieprzypisudolnego"/>
        </w:rPr>
        <w:footnoteRef/>
      </w:r>
      <w:r>
        <w:t xml:space="preserve"> Z</w:t>
      </w:r>
      <w:r w:rsidRPr="00101630">
        <w:t xml:space="preserve">a pośrednictwem Airbnb, </w:t>
      </w:r>
      <w:proofErr w:type="spellStart"/>
      <w:r w:rsidRPr="00101630">
        <w:t>Bookingu</w:t>
      </w:r>
      <w:proofErr w:type="spellEnd"/>
      <w:r w:rsidRPr="00101630">
        <w:t xml:space="preserve">, </w:t>
      </w:r>
      <w:proofErr w:type="spellStart"/>
      <w:r w:rsidRPr="00101630">
        <w:t>Expedii</w:t>
      </w:r>
      <w:proofErr w:type="spellEnd"/>
      <w:r w:rsidRPr="00101630">
        <w:t xml:space="preserve"> czy </w:t>
      </w:r>
      <w:proofErr w:type="spellStart"/>
      <w:r w:rsidRPr="00101630">
        <w:t>Tripadvisor</w:t>
      </w:r>
      <w:proofErr w:type="spellEnd"/>
      <w:r>
        <w:t>.</w:t>
      </w:r>
    </w:p>
  </w:footnote>
  <w:footnote w:id="23">
    <w:p w14:paraId="0F59BC5B" w14:textId="77777777" w:rsidR="00E52C92" w:rsidRDefault="00E52C92" w:rsidP="00E52C92">
      <w:pPr>
        <w:pStyle w:val="Tekstprzypisudolnego"/>
      </w:pPr>
      <w:r>
        <w:rPr>
          <w:rStyle w:val="Odwoanieprzypisudolnego"/>
        </w:rPr>
        <w:footnoteRef/>
      </w:r>
      <w:r>
        <w:t xml:space="preserve"> Obliczenia własne na podstawie danych Eurostat</w:t>
      </w:r>
    </w:p>
  </w:footnote>
  <w:footnote w:id="24">
    <w:p w14:paraId="009BB33F" w14:textId="77777777" w:rsidR="00E52C92" w:rsidRDefault="00E52C92" w:rsidP="00E52C92">
      <w:pPr>
        <w:pStyle w:val="Tekstprzypisudolnego"/>
      </w:pPr>
      <w:r>
        <w:rPr>
          <w:rStyle w:val="Odwoanieprzypisudolnego"/>
        </w:rPr>
        <w:footnoteRef/>
      </w:r>
      <w:r>
        <w:t xml:space="preserve"> </w:t>
      </w:r>
      <w:hyperlink r:id="rId3" w:history="1">
        <w:r w:rsidRPr="00D50589">
          <w:rPr>
            <w:rStyle w:val="Hipercze"/>
          </w:rPr>
          <w:t>https://www.rp.pl/local-content/art44209301-spektakularny-awans-port-gdansk-coraz-wyzej-w-europejskim-rankingu-portow</w:t>
        </w:r>
      </w:hyperlink>
    </w:p>
  </w:footnote>
  <w:footnote w:id="25">
    <w:p w14:paraId="70383699" w14:textId="693B7596" w:rsidR="00E52C92" w:rsidRDefault="00E52C92" w:rsidP="00E52C92">
      <w:pPr>
        <w:pStyle w:val="Tekstprzypisudolnego"/>
      </w:pPr>
      <w:r>
        <w:rPr>
          <w:rStyle w:val="Odwoanieprzypisudolnego"/>
        </w:rPr>
        <w:footnoteRef/>
      </w:r>
      <w:r>
        <w:t xml:space="preserve"> </w:t>
      </w:r>
      <w:hyperlink r:id="rId4" w:history="1">
        <w:r w:rsidRPr="00483170">
          <w:rPr>
            <w:rStyle w:val="Hipercze"/>
          </w:rPr>
          <w:t>https://www.lloydslist.com/one-hundred-container-ports-2025</w:t>
        </w:r>
      </w:hyperlink>
    </w:p>
  </w:footnote>
  <w:footnote w:id="26">
    <w:p w14:paraId="37938D0F" w14:textId="313126D8" w:rsidR="00E52C92" w:rsidRDefault="00E52C92" w:rsidP="00E52C92">
      <w:pPr>
        <w:pStyle w:val="Tekstprzypisudolnego"/>
      </w:pPr>
      <w:r>
        <w:rPr>
          <w:rStyle w:val="Odwoanieprzypisudolnego"/>
        </w:rPr>
        <w:footnoteRef/>
      </w:r>
      <w:r>
        <w:t xml:space="preserve"> </w:t>
      </w:r>
      <w:r w:rsidRPr="00D50589">
        <w:t xml:space="preserve">Analiza wpływu Portu Gdańsk na gospodarkę miasta, regionu i kraju, Port Gdańsk, </w:t>
      </w:r>
      <w:proofErr w:type="spellStart"/>
      <w:r w:rsidRPr="00D50589">
        <w:t>PwC</w:t>
      </w:r>
      <w:proofErr w:type="spellEnd"/>
      <w:r w:rsidRPr="00D50589">
        <w:t xml:space="preserve"> Polska, 2026</w:t>
      </w:r>
      <w:r>
        <w:t xml:space="preserve"> (</w:t>
      </w:r>
      <w:r w:rsidRPr="00D50589">
        <w:t>https://www.portgdansk.pl/zjed-content/uploads/2026/04/raport_pwc_1</w:t>
      </w:r>
      <w:r w:rsidR="00E75137">
        <w:t>,</w:t>
      </w:r>
      <w:r w:rsidRPr="00D50589">
        <w:t>4.04.26.pdf</w:t>
      </w:r>
      <w:r>
        <w:t>)</w:t>
      </w:r>
    </w:p>
  </w:footnote>
  <w:footnote w:id="27">
    <w:p w14:paraId="32975908" w14:textId="7BD9AFD5" w:rsidR="00E52C92" w:rsidRDefault="00E52C92" w:rsidP="00E52C92">
      <w:pPr>
        <w:pStyle w:val="Tekstprzypisudolnego"/>
      </w:pPr>
      <w:r>
        <w:rPr>
          <w:rStyle w:val="Odwoanieprzypisudolnego"/>
        </w:rPr>
        <w:footnoteRef/>
      </w:r>
      <w:r>
        <w:t xml:space="preserve"> </w:t>
      </w:r>
      <w:hyperlink r:id="rId5" w:history="1">
        <w:r w:rsidRPr="00496AB4">
          <w:rPr>
            <w:rStyle w:val="Hipercze"/>
          </w:rPr>
          <w:t>https://www.port.gdynia.pl</w:t>
        </w:r>
      </w:hyperlink>
    </w:p>
  </w:footnote>
  <w:footnote w:id="28">
    <w:p w14:paraId="733F66EA" w14:textId="71C3B3E8" w:rsidR="00E52C92" w:rsidRDefault="00E52C92" w:rsidP="00E52C92">
      <w:pPr>
        <w:pStyle w:val="Tekstprzypisudolnego"/>
      </w:pPr>
      <w:r>
        <w:rPr>
          <w:rStyle w:val="Odwoanieprzypisudolnego"/>
        </w:rPr>
        <w:footnoteRef/>
      </w:r>
      <w:r>
        <w:t xml:space="preserve"> </w:t>
      </w:r>
      <w:proofErr w:type="spellStart"/>
      <w:r>
        <w:t>Markbeat</w:t>
      </w:r>
      <w:proofErr w:type="spellEnd"/>
      <w:r>
        <w:t xml:space="preserve"> Polska Rynek magazynowy II kw. 2026 r., </w:t>
      </w:r>
      <w:proofErr w:type="spellStart"/>
      <w:r>
        <w:t>Cushman</w:t>
      </w:r>
      <w:proofErr w:type="spellEnd"/>
      <w:r>
        <w:t xml:space="preserve"> &amp; Wakefield</w:t>
      </w:r>
    </w:p>
  </w:footnote>
  <w:footnote w:id="29">
    <w:p w14:paraId="625C0522" w14:textId="20798A84" w:rsidR="00E52C92" w:rsidRDefault="00E52C92" w:rsidP="00E52C92">
      <w:pPr>
        <w:pStyle w:val="Tekstprzypisudolnego"/>
      </w:pPr>
      <w:r>
        <w:rPr>
          <w:rStyle w:val="Odwoanieprzypisudolnego"/>
        </w:rPr>
        <w:footnoteRef/>
      </w:r>
      <w:r w:rsidRPr="00D64D2B">
        <w:t xml:space="preserve"> </w:t>
      </w:r>
      <w:hyperlink r:id="rId6" w:history="1">
        <w:r w:rsidRPr="00D64D2B">
          <w:rPr>
            <w:rStyle w:val="Hipercze"/>
          </w:rPr>
          <w:t>https://www.airport.gdansk.pl</w:t>
        </w:r>
      </w:hyperlink>
    </w:p>
  </w:footnote>
  <w:footnote w:id="30">
    <w:p w14:paraId="7F3DD95E" w14:textId="77777777" w:rsidR="00E52C92" w:rsidRDefault="00E52C92" w:rsidP="00E52C92">
      <w:pPr>
        <w:pStyle w:val="Tekstprzypisudolnego"/>
      </w:pPr>
      <w:r>
        <w:rPr>
          <w:rStyle w:val="Odwoanieprzypisudolnego"/>
        </w:rPr>
        <w:footnoteRef/>
      </w:r>
      <w:r>
        <w:t xml:space="preserve"> </w:t>
      </w:r>
      <w:r w:rsidRPr="00D64D2B">
        <w:t xml:space="preserve">Źródło: </w:t>
      </w:r>
      <w:r w:rsidRPr="00AB27BA">
        <w:t>https://www.rynek-lotniczy.pl/wiadomosci/gdansk-rekordowa-letnia-siatka-polaczen-27163.html</w:t>
      </w:r>
    </w:p>
  </w:footnote>
  <w:footnote w:id="31">
    <w:p w14:paraId="02C8DA32" w14:textId="77777777" w:rsidR="00E52C92" w:rsidRDefault="00E52C92" w:rsidP="00E52C92">
      <w:pPr>
        <w:pStyle w:val="Tekstprzypisudolnego"/>
      </w:pPr>
      <w:r>
        <w:rPr>
          <w:rStyle w:val="Odwoanieprzypisudolnego"/>
        </w:rPr>
        <w:footnoteRef/>
      </w:r>
      <w:r>
        <w:t xml:space="preserve"> Źródło: ulc.gov.pl</w:t>
      </w:r>
    </w:p>
  </w:footnote>
  <w:footnote w:id="32">
    <w:p w14:paraId="6E676B21" w14:textId="77777777" w:rsidR="00E52C92" w:rsidRDefault="00E52C92" w:rsidP="00E52C92">
      <w:pPr>
        <w:pStyle w:val="Tekstprzypisudolnego"/>
      </w:pPr>
      <w:r>
        <w:rPr>
          <w:rStyle w:val="Odwoanieprzypisudolnego"/>
        </w:rPr>
        <w:footnoteRef/>
      </w:r>
      <w:r>
        <w:t xml:space="preserve"> Dotyczy o</w:t>
      </w:r>
      <w:r w:rsidRPr="000700A0">
        <w:t>s</w:t>
      </w:r>
      <w:r>
        <w:t xml:space="preserve">ób </w:t>
      </w:r>
      <w:r w:rsidRPr="000700A0">
        <w:t>zarabiają</w:t>
      </w:r>
      <w:r>
        <w:t>cych</w:t>
      </w:r>
      <w:r w:rsidRPr="000700A0">
        <w:t xml:space="preserve"> </w:t>
      </w:r>
      <w:r>
        <w:t>zbyt</w:t>
      </w:r>
      <w:r w:rsidRPr="000700A0">
        <w:t xml:space="preserve"> dużo, aby </w:t>
      </w:r>
      <w:r>
        <w:t>nabyć prawo do</w:t>
      </w:r>
      <w:r w:rsidRPr="000700A0">
        <w:t xml:space="preserve"> mieszkani</w:t>
      </w:r>
      <w:r>
        <w:t>a</w:t>
      </w:r>
      <w:r w:rsidRPr="000700A0">
        <w:t xml:space="preserve"> komunalne</w:t>
      </w:r>
      <w:r>
        <w:t>go</w:t>
      </w:r>
      <w:r w:rsidRPr="000700A0">
        <w:t xml:space="preserve"> lub socjalne</w:t>
      </w:r>
      <w:r>
        <w:t>go</w:t>
      </w:r>
      <w:r w:rsidRPr="000700A0">
        <w:t xml:space="preserve">, ale jednocześnie </w:t>
      </w:r>
      <w:r>
        <w:t>zbyt</w:t>
      </w:r>
      <w:r w:rsidRPr="000700A0">
        <w:t xml:space="preserve"> mało, </w:t>
      </w:r>
      <w:r>
        <w:t>a</w:t>
      </w:r>
      <w:r w:rsidRPr="000700A0">
        <w:t>by wynająć mieszkanie na rynku albo kupić własne</w:t>
      </w:r>
      <w:r>
        <w:t>.</w:t>
      </w:r>
    </w:p>
  </w:footnote>
  <w:footnote w:id="33">
    <w:p w14:paraId="1085CF53" w14:textId="77777777" w:rsidR="00E52C92" w:rsidRDefault="00E52C92" w:rsidP="00E52C92">
      <w:pPr>
        <w:pStyle w:val="Tekstprzypisudolnego"/>
      </w:pPr>
      <w:r>
        <w:rPr>
          <w:rStyle w:val="Odwoanieprzypisudolnego"/>
        </w:rPr>
        <w:footnoteRef/>
      </w:r>
      <w:r>
        <w:t xml:space="preserve"> Z</w:t>
      </w:r>
      <w:r w:rsidRPr="000700A0">
        <w:t xml:space="preserve">a </w:t>
      </w:r>
      <w:r>
        <w:t xml:space="preserve">1 </w:t>
      </w:r>
      <w:r w:rsidRPr="000700A0">
        <w:t>m</w:t>
      </w:r>
      <w:r w:rsidRPr="00BB5AB9">
        <w:rPr>
          <w:vertAlign w:val="superscript"/>
        </w:rPr>
        <w:t>2</w:t>
      </w:r>
      <w:r w:rsidRPr="000700A0">
        <w:t xml:space="preserve"> </w:t>
      </w:r>
      <w:r>
        <w:t xml:space="preserve">powierzchni </w:t>
      </w:r>
      <w:r w:rsidRPr="000700A0">
        <w:t>mieszkania</w:t>
      </w:r>
      <w:r>
        <w:t>.</w:t>
      </w:r>
    </w:p>
  </w:footnote>
  <w:footnote w:id="34">
    <w:p w14:paraId="786F50C8" w14:textId="77777777" w:rsidR="00E52C92" w:rsidRDefault="00E52C92" w:rsidP="00E52C92">
      <w:pPr>
        <w:pStyle w:val="Tekstprzypisudolnego"/>
      </w:pPr>
      <w:r>
        <w:rPr>
          <w:rStyle w:val="Odwoanieprzypisudolnego"/>
        </w:rPr>
        <w:footnoteRef/>
      </w:r>
      <w:r>
        <w:t xml:space="preserve"> </w:t>
      </w:r>
      <w:r w:rsidRPr="00C72741">
        <w:rPr>
          <w:rStyle w:val="Pogrubienie"/>
          <w:b w:val="0"/>
          <w:bCs w:val="0"/>
        </w:rPr>
        <w:t>TBS</w:t>
      </w:r>
      <w:r w:rsidRPr="00A81EBD">
        <w:rPr>
          <w:b/>
        </w:rPr>
        <w:t xml:space="preserve"> </w:t>
      </w:r>
      <w:r w:rsidRPr="00C72741">
        <w:t>–</w:t>
      </w:r>
      <w:r w:rsidRPr="00A81EBD">
        <w:rPr>
          <w:b/>
        </w:rPr>
        <w:t xml:space="preserve"> </w:t>
      </w:r>
      <w:r w:rsidRPr="00C72741">
        <w:rPr>
          <w:rStyle w:val="Pogrubienie"/>
          <w:b w:val="0"/>
          <w:bCs w:val="0"/>
        </w:rPr>
        <w:t>Towarzystwo Budownictwa Społecznego</w:t>
      </w:r>
      <w:r>
        <w:rPr>
          <w:rStyle w:val="Pogrubienie"/>
          <w:b w:val="0"/>
          <w:bCs w:val="0"/>
        </w:rPr>
        <w:t xml:space="preserve">, SIM – </w:t>
      </w:r>
      <w:r w:rsidRPr="00A81EBD">
        <w:rPr>
          <w:rStyle w:val="Pogrubienie"/>
          <w:b w:val="0"/>
          <w:bCs w:val="0"/>
        </w:rPr>
        <w:t>Społeczna Inicjatywa Mieszkaniowa</w:t>
      </w:r>
    </w:p>
  </w:footnote>
  <w:footnote w:id="35">
    <w:p w14:paraId="617AFA3F" w14:textId="77777777" w:rsidR="00E52C92" w:rsidRDefault="00E52C92" w:rsidP="00E52C92">
      <w:pPr>
        <w:pStyle w:val="Tekstprzypisudolnego"/>
      </w:pPr>
      <w:r>
        <w:rPr>
          <w:rStyle w:val="Odwoanieprzypisudolnego"/>
        </w:rPr>
        <w:footnoteRef/>
      </w:r>
      <w:r>
        <w:t xml:space="preserve"> </w:t>
      </w:r>
      <w:r w:rsidRPr="00E82410">
        <w:t>Źródło: Mapa potrzeb zdrowotnych na lata 2022-2026</w:t>
      </w:r>
    </w:p>
  </w:footnote>
  <w:footnote w:id="36">
    <w:p w14:paraId="45DF2AD0" w14:textId="77777777" w:rsidR="00E52C92" w:rsidRDefault="00E52C92" w:rsidP="00E52C92">
      <w:pPr>
        <w:pStyle w:val="Tekstprzypisudolnego"/>
      </w:pPr>
      <w:r>
        <w:rPr>
          <w:rStyle w:val="Odwoanieprzypisudolnego"/>
        </w:rPr>
        <w:footnoteRef/>
      </w:r>
      <w:r>
        <w:t xml:space="preserve"> Ibidem.</w:t>
      </w:r>
    </w:p>
  </w:footnote>
  <w:footnote w:id="37">
    <w:p w14:paraId="1D7A44EE" w14:textId="77777777" w:rsidR="00E52C92" w:rsidRDefault="00E52C92" w:rsidP="00E52C92">
      <w:pPr>
        <w:pStyle w:val="Tekstprzypisudolnego"/>
      </w:pPr>
      <w:r>
        <w:rPr>
          <w:rStyle w:val="Odwoanieprzypisudolnego"/>
        </w:rPr>
        <w:footnoteRef/>
      </w:r>
      <w:r>
        <w:t xml:space="preserve"> Ibidem.</w:t>
      </w:r>
    </w:p>
  </w:footnote>
  <w:footnote w:id="38">
    <w:p w14:paraId="76B3305B" w14:textId="77777777" w:rsidR="00E52C92" w:rsidRDefault="00E52C92" w:rsidP="00E52C92">
      <w:pPr>
        <w:pStyle w:val="Tekstprzypisudolnego"/>
      </w:pPr>
      <w:r>
        <w:rPr>
          <w:rStyle w:val="Odwoanieprzypisudolnego"/>
        </w:rPr>
        <w:footnoteRef/>
      </w:r>
      <w:r>
        <w:t xml:space="preserve"> </w:t>
      </w:r>
      <w:r w:rsidRPr="00DD0B90">
        <w:t>Źródło: Biuletyn statystyczny Ministra Zdrowia 2025, Centrum e-Zdrowia, Warszawa 2025</w:t>
      </w:r>
    </w:p>
  </w:footnote>
  <w:footnote w:id="39">
    <w:p w14:paraId="5353015A" w14:textId="77777777" w:rsidR="00E52C92" w:rsidRDefault="00E52C92" w:rsidP="00E52C92">
      <w:pPr>
        <w:pStyle w:val="Tekstprzypisudolnego"/>
      </w:pPr>
      <w:r>
        <w:rPr>
          <w:rStyle w:val="Odwoanieprzypisudolnego"/>
        </w:rPr>
        <w:footnoteRef/>
      </w:r>
      <w:r>
        <w:t xml:space="preserve"> </w:t>
      </w:r>
      <w:r w:rsidRPr="00D64D2B">
        <w:t>Źródło: Mapa potrzeb zdrowotnych na lata 2022-2026</w:t>
      </w:r>
    </w:p>
  </w:footnote>
  <w:footnote w:id="40">
    <w:p w14:paraId="3267C1EC" w14:textId="77777777" w:rsidR="00E52C92" w:rsidRDefault="00E52C92" w:rsidP="00E52C92">
      <w:pPr>
        <w:pStyle w:val="Tekstprzypisudolnego"/>
      </w:pPr>
      <w:r>
        <w:rPr>
          <w:rStyle w:val="Odwoanieprzypisudolnego"/>
        </w:rPr>
        <w:footnoteRef/>
      </w:r>
      <w:r>
        <w:t xml:space="preserve"> Ibidem.</w:t>
      </w:r>
    </w:p>
  </w:footnote>
  <w:footnote w:id="41">
    <w:p w14:paraId="5187479C" w14:textId="77777777" w:rsidR="00E52C92" w:rsidRDefault="00E52C92" w:rsidP="00E52C92">
      <w:pPr>
        <w:pStyle w:val="Tekstprzypisudolnego"/>
      </w:pPr>
      <w:r>
        <w:rPr>
          <w:rStyle w:val="Odwoanieprzypisudolnego"/>
        </w:rPr>
        <w:footnoteRef/>
      </w:r>
      <w:r>
        <w:t xml:space="preserve"> Ś</w:t>
      </w:r>
      <w:r w:rsidRPr="004846A0">
        <w:t>wiadczenia i środki przekazywane przez państwo lub samorząd</w:t>
      </w:r>
      <w:r>
        <w:t xml:space="preserve"> np. emerytury, renty, zasiłki, świadczenia</w:t>
      </w:r>
    </w:p>
  </w:footnote>
  <w:footnote w:id="42">
    <w:p w14:paraId="4DD31372" w14:textId="77777777" w:rsidR="00E52C92" w:rsidRDefault="00E52C92" w:rsidP="00E52C92">
      <w:pPr>
        <w:pStyle w:val="Tekstprzypisudolnego"/>
      </w:pPr>
      <w:r>
        <w:rPr>
          <w:rStyle w:val="Odwoanieprzypisudolnego"/>
        </w:rPr>
        <w:footnoteRef/>
      </w:r>
      <w:r>
        <w:t xml:space="preserve"> Źródło: ROPS</w:t>
      </w:r>
    </w:p>
  </w:footnote>
  <w:footnote w:id="43">
    <w:p w14:paraId="359DEC35" w14:textId="77777777" w:rsidR="00E52C92" w:rsidRDefault="00E52C92" w:rsidP="00E52C92">
      <w:pPr>
        <w:pStyle w:val="Tekstprzypisudolnego"/>
      </w:pPr>
      <w:r>
        <w:rPr>
          <w:rStyle w:val="Odwoanieprzypisudolnego"/>
        </w:rPr>
        <w:footnoteRef/>
      </w:r>
      <w:r>
        <w:t xml:space="preserve"> </w:t>
      </w:r>
      <w:proofErr w:type="spellStart"/>
      <w:r>
        <w:t>Superwizja</w:t>
      </w:r>
      <w:proofErr w:type="spellEnd"/>
      <w:r>
        <w:t xml:space="preserve"> pracy socjalnej polega na ustawicznym rozwoju zawodowym pracowników socjalnych, służącym utrzymaniu wysokiego poziomu świadczonych usług, zachowaniu i wzmacnianiu kompetencji zawodowych, udzielaniu wsparcia, poszukiwaniu źródeł trudności w pracy i możliwości ich pokonywania. Ust. z dnia 12 marca 2004 r. o pomocy społecznej, art. 121a.</w:t>
      </w:r>
    </w:p>
  </w:footnote>
  <w:footnote w:id="44">
    <w:p w14:paraId="067B8765" w14:textId="77777777" w:rsidR="00E52C92" w:rsidRDefault="00E52C92" w:rsidP="00E52C92">
      <w:pPr>
        <w:pStyle w:val="Tekstprzypisudolnego"/>
      </w:pPr>
      <w:r>
        <w:rPr>
          <w:rStyle w:val="Odwoanieprzypisudolnego"/>
        </w:rPr>
        <w:footnoteRef/>
      </w:r>
      <w:r>
        <w:t xml:space="preserve"> Źródło: ROPS</w:t>
      </w:r>
    </w:p>
  </w:footnote>
  <w:footnote w:id="45">
    <w:p w14:paraId="4C05F4DF" w14:textId="77777777" w:rsidR="00E52C92" w:rsidRDefault="00E52C92" w:rsidP="00E52C92">
      <w:pPr>
        <w:pStyle w:val="Tekstprzypisudolnego"/>
      </w:pPr>
      <w:r>
        <w:rPr>
          <w:rStyle w:val="Odwoanieprzypisudolnego"/>
        </w:rPr>
        <w:footnoteRef/>
      </w:r>
      <w:r>
        <w:t xml:space="preserve"> Mika B., Boryczko M., Kowzan P., 2025, P</w:t>
      </w:r>
      <w:r w:rsidRPr="0018182F">
        <w:t>otencjał pomorskich organizacji pozarządowych do realizacji usług społecznych</w:t>
      </w:r>
      <w:r>
        <w:t>, Badanie zrealizowane dla ROPS, Gdańsk (</w:t>
      </w:r>
      <w:r w:rsidRPr="00C2750D">
        <w:t>https://rops.pomorskie.eu/wp-content/uploads/2026/07/RAPORT_NGO_uslugi-spoleczne.pdf</w:t>
      </w:r>
      <w:r>
        <w:t>)</w:t>
      </w:r>
    </w:p>
  </w:footnote>
  <w:footnote w:id="46">
    <w:p w14:paraId="1B8FFE48" w14:textId="77777777" w:rsidR="00E52C92" w:rsidRDefault="00E52C92" w:rsidP="00E52C92">
      <w:pPr>
        <w:pStyle w:val="Tekstprzypisudolnego"/>
      </w:pPr>
      <w:r>
        <w:rPr>
          <w:rStyle w:val="Odwoanieprzypisudolnego"/>
        </w:rPr>
        <w:footnoteRef/>
      </w:r>
      <w:r>
        <w:t xml:space="preserve"> </w:t>
      </w:r>
      <w:r w:rsidRPr="00E82410">
        <w:rPr>
          <w:szCs w:val="22"/>
        </w:rPr>
        <w:t>Raport zbiorczy z wykonania Pomorskich Badań Ruchu 2024 wraz z Gdańskimi Badaniami Ruchu, Pomorskie Biuro Planowania Regionalnego, 2025</w:t>
      </w:r>
    </w:p>
  </w:footnote>
  <w:footnote w:id="47">
    <w:p w14:paraId="7E1ADFE0" w14:textId="77777777" w:rsidR="00E52C92" w:rsidRDefault="00E52C92" w:rsidP="00E52C92">
      <w:pPr>
        <w:pStyle w:val="Tekstprzypisudolnego"/>
      </w:pPr>
      <w:r>
        <w:rPr>
          <w:rStyle w:val="Odwoanieprzypisudolnego"/>
        </w:rPr>
        <w:footnoteRef/>
      </w:r>
      <w:r>
        <w:t xml:space="preserve"> </w:t>
      </w:r>
      <w:r w:rsidRPr="00886781">
        <w:rPr>
          <w:bCs/>
        </w:rPr>
        <w:t>Dane Urzędu Transportu Kolejowego</w:t>
      </w:r>
    </w:p>
  </w:footnote>
  <w:footnote w:id="48">
    <w:p w14:paraId="680B9EC4" w14:textId="77777777" w:rsidR="00E52C92" w:rsidRDefault="00E52C92" w:rsidP="00E52C92">
      <w:pPr>
        <w:pStyle w:val="Tekstprzypisudolnego"/>
      </w:pPr>
      <w:r>
        <w:rPr>
          <w:rStyle w:val="Odwoanieprzypisudolnego"/>
        </w:rPr>
        <w:footnoteRef/>
      </w:r>
      <w:r>
        <w:t xml:space="preserve"> </w:t>
      </w:r>
      <w:r w:rsidRPr="00C42BA4">
        <w:t>https://pomorskie.eu/za-nami-rekordowy-rok-pociagi-polregio-i-skm-przewiozly-ponad-765-mln-podroznych/</w:t>
      </w:r>
    </w:p>
  </w:footnote>
  <w:footnote w:id="49">
    <w:p w14:paraId="20D6B1ED" w14:textId="77777777" w:rsidR="00E52C92" w:rsidRDefault="00E52C92" w:rsidP="00E52C92">
      <w:pPr>
        <w:pStyle w:val="Tekstprzypisudolnego"/>
      </w:pPr>
      <w:r>
        <w:rPr>
          <w:rStyle w:val="Odwoanieprzypisudolnego"/>
        </w:rPr>
        <w:footnoteRef/>
      </w:r>
      <w:r>
        <w:t xml:space="preserve"> </w:t>
      </w:r>
      <w:r w:rsidRPr="001E5F8A">
        <w:t>Raporty GDDKiA</w:t>
      </w:r>
    </w:p>
  </w:footnote>
  <w:footnote w:id="50">
    <w:p w14:paraId="67749A13" w14:textId="77777777" w:rsidR="00E52C92" w:rsidRDefault="00E52C92" w:rsidP="00E52C92">
      <w:pPr>
        <w:pStyle w:val="Tekstprzypisudolnego"/>
      </w:pPr>
      <w:r>
        <w:rPr>
          <w:rStyle w:val="Odwoanieprzypisudolnego"/>
        </w:rPr>
        <w:footnoteRef/>
      </w:r>
      <w:r>
        <w:t xml:space="preserve"> </w:t>
      </w:r>
      <w:r w:rsidRPr="001B135C">
        <w:t>Ewidencja Infrastruktury Paliw Alternatywnych, Urząd Dozoru Technicznego</w:t>
      </w:r>
    </w:p>
  </w:footnote>
  <w:footnote w:id="51">
    <w:p w14:paraId="7F47C7F4" w14:textId="77777777" w:rsidR="00E52C92" w:rsidRDefault="00E52C92" w:rsidP="00E52C92">
      <w:pPr>
        <w:pStyle w:val="Tekstprzypisudolnego"/>
      </w:pPr>
      <w:r>
        <w:rPr>
          <w:rStyle w:val="Odwoanieprzypisudolnego"/>
        </w:rPr>
        <w:footnoteRef/>
      </w:r>
      <w:r>
        <w:t xml:space="preserve"> </w:t>
      </w:r>
      <w:r w:rsidRPr="00923AA7">
        <w:t>https://rowermevo.pl/aktualnosci</w:t>
      </w:r>
    </w:p>
  </w:footnote>
  <w:footnote w:id="52">
    <w:p w14:paraId="7FCEE1E9" w14:textId="77777777" w:rsidR="00E52C92" w:rsidRPr="003831CE" w:rsidRDefault="00E52C92" w:rsidP="00E52C92">
      <w:pPr>
        <w:pStyle w:val="Tekstprzypisudolnego"/>
      </w:pPr>
      <w:r w:rsidRPr="003831CE">
        <w:rPr>
          <w:rStyle w:val="Odwoanieprzypisudolnego"/>
        </w:rPr>
        <w:footnoteRef/>
      </w:r>
      <w:r w:rsidRPr="003831CE">
        <w:t xml:space="preserve"> Zapewnienie obywatelom miejsc schronienia w budowlach ochronnych na wypadek wystąpienia zagrożenia, Informacja o wynikach kontroli, NIK, LKI.430.2.2023, Nr </w:t>
      </w:r>
      <w:proofErr w:type="spellStart"/>
      <w:r w:rsidRPr="003831CE">
        <w:t>ewid</w:t>
      </w:r>
      <w:proofErr w:type="spellEnd"/>
      <w:r w:rsidRPr="003831CE">
        <w:t>. 79/2023/P/23/061/LKI</w:t>
      </w:r>
    </w:p>
  </w:footnote>
  <w:footnote w:id="53">
    <w:p w14:paraId="3EBD94AA" w14:textId="77777777" w:rsidR="00E52C92" w:rsidRPr="003831CE" w:rsidRDefault="00E52C92" w:rsidP="00E52C92">
      <w:pPr>
        <w:pStyle w:val="Tekstprzypisudolnego"/>
      </w:pPr>
      <w:r w:rsidRPr="003831CE">
        <w:rPr>
          <w:rStyle w:val="Odwoanieprzypisudolnego"/>
        </w:rPr>
        <w:footnoteRef/>
      </w:r>
      <w:r w:rsidRPr="003831CE">
        <w:t xml:space="preserve"> Sprawozdanie Rady Ministrów z wykonania ustawy z dnia 5 grudnia 2024 r. o ochronie ludności i obronie cywilnej, Druk nr 2625 Warszawa, 25 maja 2026 r. (</w:t>
      </w:r>
      <w:hyperlink r:id="rId7" w:history="1">
        <w:r w:rsidRPr="003831CE">
          <w:rPr>
            <w:rStyle w:val="Hipercze"/>
          </w:rPr>
          <w:t>2625.pdf</w:t>
        </w:r>
      </w:hyperlink>
      <w:r w:rsidRPr="003831CE">
        <w:t>).</w:t>
      </w:r>
    </w:p>
  </w:footnote>
  <w:footnote w:id="54">
    <w:p w14:paraId="09FD22B1" w14:textId="77777777" w:rsidR="00E52C92" w:rsidRPr="003831CE" w:rsidRDefault="00E52C92" w:rsidP="00E52C92">
      <w:pPr>
        <w:pStyle w:val="Tekstprzypisudolnego"/>
      </w:pPr>
      <w:r w:rsidRPr="003831CE">
        <w:rPr>
          <w:rStyle w:val="Odwoanieprzypisudolnego"/>
        </w:rPr>
        <w:footnoteRef/>
      </w:r>
      <w:r w:rsidRPr="003831CE">
        <w:t xml:space="preserve"> zagrożenia chemiczne (</w:t>
      </w:r>
      <w:proofErr w:type="spellStart"/>
      <w:r w:rsidRPr="003831CE">
        <w:t>Chemical</w:t>
      </w:r>
      <w:proofErr w:type="spellEnd"/>
      <w:r w:rsidRPr="003831CE">
        <w:t>), biologiczne (</w:t>
      </w:r>
      <w:proofErr w:type="spellStart"/>
      <w:r w:rsidRPr="003831CE">
        <w:t>Biological</w:t>
      </w:r>
      <w:proofErr w:type="spellEnd"/>
      <w:r w:rsidRPr="003831CE">
        <w:t>), radiologiczne (</w:t>
      </w:r>
      <w:proofErr w:type="spellStart"/>
      <w:r w:rsidRPr="003831CE">
        <w:t>Radiological</w:t>
      </w:r>
      <w:proofErr w:type="spellEnd"/>
      <w:r w:rsidRPr="003831CE">
        <w:t>) oraz nuklearne (</w:t>
      </w:r>
      <w:proofErr w:type="spellStart"/>
      <w:r w:rsidRPr="003831CE">
        <w:t>Nuclear</w:t>
      </w:r>
      <w:proofErr w:type="spellEnd"/>
      <w:r w:rsidRPr="003831CE">
        <w:t>)</w:t>
      </w:r>
    </w:p>
  </w:footnote>
  <w:footnote w:id="55">
    <w:p w14:paraId="4F28871D" w14:textId="77777777" w:rsidR="00E52C92" w:rsidRPr="003831CE" w:rsidRDefault="00E52C92" w:rsidP="00E52C92">
      <w:pPr>
        <w:pStyle w:val="Tekstprzypisudolnego"/>
      </w:pPr>
      <w:r w:rsidRPr="003831CE">
        <w:rPr>
          <w:rStyle w:val="Odwoanieprzypisudolnego"/>
        </w:rPr>
        <w:footnoteRef/>
      </w:r>
      <w:r w:rsidRPr="003831CE">
        <w:t xml:space="preserve"> Raport Bezpieczni w czasie kryzysu, Wojskowy Instytut Medyczny Państwowy Instytut Badawczy, rynekzdrowia.pl, WNP </w:t>
      </w:r>
      <w:proofErr w:type="spellStart"/>
      <w:r w:rsidRPr="003831CE">
        <w:t>Economic</w:t>
      </w:r>
      <w:proofErr w:type="spellEnd"/>
    </w:p>
  </w:footnote>
  <w:footnote w:id="56">
    <w:p w14:paraId="60D440D2" w14:textId="77777777" w:rsidR="00E52C92" w:rsidRPr="003831CE" w:rsidRDefault="00E52C92" w:rsidP="00E52C92">
      <w:pPr>
        <w:pStyle w:val="Tekstprzypisudolnego"/>
      </w:pPr>
      <w:r w:rsidRPr="003831CE">
        <w:rPr>
          <w:rStyle w:val="Odwoanieprzypisudolnego"/>
        </w:rPr>
        <w:footnoteRef/>
      </w:r>
      <w:r w:rsidRPr="003831CE">
        <w:t xml:space="preserve"> Plan działania systemu Państwowe Ratownictwo Medyczne dla województwa pomorskiego</w:t>
      </w:r>
      <w:r>
        <w:t>, maj 2026, Pomorski Urząd Wojewódzki, Gdańsk</w:t>
      </w:r>
    </w:p>
  </w:footnote>
  <w:footnote w:id="57">
    <w:p w14:paraId="49C79799" w14:textId="77777777" w:rsidR="00E52C92" w:rsidRDefault="00E52C92" w:rsidP="00E52C92">
      <w:pPr>
        <w:pStyle w:val="Tekstprzypisudolnego"/>
      </w:pPr>
      <w:r w:rsidRPr="003831CE">
        <w:rPr>
          <w:rStyle w:val="Odwoanieprzypisudolnego"/>
        </w:rPr>
        <w:footnoteRef/>
      </w:r>
      <w:r w:rsidRPr="003831CE">
        <w:t xml:space="preserve"> </w:t>
      </w:r>
      <w:proofErr w:type="spellStart"/>
      <w:r w:rsidRPr="003831CE">
        <w:t>Raulinajtys</w:t>
      </w:r>
      <w:proofErr w:type="spellEnd"/>
      <w:r w:rsidRPr="003831CE">
        <w:t xml:space="preserve">-Grzybek, M., Majcherek D., Szyszkowska E., Dyszyńska-Przystał K., Puławski H., Andrusiewicz W. (2026). Braki kadry lekarskiej – strategia działań w różnych horyzontach czasowych. </w:t>
      </w:r>
      <w:proofErr w:type="spellStart"/>
      <w:r w:rsidRPr="003831CE">
        <w:t>Think</w:t>
      </w:r>
      <w:proofErr w:type="spellEnd"/>
      <w:r w:rsidRPr="003831CE">
        <w:t xml:space="preserve"> Tank SGH dla Ochrony Zdrowia, Szkoła Główna Handlowa w Warszawie</w:t>
      </w:r>
    </w:p>
  </w:footnote>
  <w:footnote w:id="58">
    <w:p w14:paraId="090FA439" w14:textId="77777777" w:rsidR="00E52C92" w:rsidRDefault="00E52C92" w:rsidP="00E52C92">
      <w:pPr>
        <w:pStyle w:val="Tekstprzypisudolnego"/>
      </w:pPr>
      <w:r>
        <w:rPr>
          <w:rStyle w:val="Odwoanieprzypisudolnego"/>
        </w:rPr>
        <w:footnoteRef/>
      </w:r>
      <w:r>
        <w:t xml:space="preserve"> Biuletyn Informacyjny Komendy Wojewódzkiej Państwowej Straży Pożarnej w Gdańsku za rok 2025</w:t>
      </w:r>
    </w:p>
  </w:footnote>
  <w:footnote w:id="59">
    <w:p w14:paraId="381BD7CE" w14:textId="77777777" w:rsidR="00E52C92" w:rsidRPr="0001102C" w:rsidRDefault="00E52C92" w:rsidP="00E52C92">
      <w:pPr>
        <w:pStyle w:val="Tekstprzypisudolnego"/>
      </w:pPr>
      <w:r>
        <w:rPr>
          <w:rStyle w:val="Odwoanieprzypisudolnego"/>
        </w:rPr>
        <w:footnoteRef/>
      </w:r>
      <w:r>
        <w:t xml:space="preserve"> </w:t>
      </w:r>
      <w:proofErr w:type="spellStart"/>
      <w:r>
        <w:t>Szanter</w:t>
      </w:r>
      <w:proofErr w:type="spellEnd"/>
      <w:r>
        <w:t xml:space="preserve"> P., 2024, </w:t>
      </w:r>
      <w:r w:rsidRPr="00326A06">
        <w:t>Przygotowanie ludności województwa pomorskiego do przeciwdziałania skutkom zagrożeń generowanych przez współczesne konflikty zbrojne</w:t>
      </w:r>
      <w:r>
        <w:t>, Rozprawa doktorska, Uniwersytet Pomorski w Słupsku, Słupsk</w:t>
      </w:r>
    </w:p>
  </w:footnote>
  <w:footnote w:id="60">
    <w:p w14:paraId="1F32BD0D" w14:textId="77777777" w:rsidR="00E52C92" w:rsidRDefault="00E52C92" w:rsidP="00E52C92">
      <w:pPr>
        <w:pStyle w:val="Tekstprzypisudolnego"/>
      </w:pPr>
      <w:r>
        <w:rPr>
          <w:rStyle w:val="Odwoanieprzypisudolnego"/>
        </w:rPr>
        <w:footnoteRef/>
      </w:r>
      <w:r>
        <w:t xml:space="preserve"> J</w:t>
      </w:r>
      <w:r w:rsidRPr="0040065D">
        <w:t>ako konsekwencja wspomnianej dominacji zachodniej strefowej cyrkulacji, która powoduje utrzymanie stałego nachylenia zwierciadła Bałtyku, wzrastającego za zachodu na wschód</w:t>
      </w:r>
      <w:r>
        <w:t xml:space="preserve">. Źródło: </w:t>
      </w:r>
      <w:r w:rsidRPr="00366AC4">
        <w:t>Raport IMGW-PIB „Klimat Polski 2024”</w:t>
      </w:r>
      <w:r>
        <w:t xml:space="preserve">. </w:t>
      </w:r>
    </w:p>
  </w:footnote>
  <w:footnote w:id="61">
    <w:p w14:paraId="788B4C93" w14:textId="77777777" w:rsidR="00E52C92" w:rsidRDefault="00E52C92" w:rsidP="00E52C92">
      <w:pPr>
        <w:pStyle w:val="Tekstprzypisudolnego"/>
      </w:pPr>
      <w:r>
        <w:rPr>
          <w:rStyle w:val="Odwoanieprzypisudolnego"/>
        </w:rPr>
        <w:footnoteRef/>
      </w:r>
      <w:r>
        <w:t xml:space="preserve"> Sprawozdanie z realizacji Krajowego Programu Oczyszczania Ścieków Komunalnych za 2024 rok.</w:t>
      </w:r>
    </w:p>
  </w:footnote>
  <w:footnote w:id="62">
    <w:p w14:paraId="13058DBB" w14:textId="77777777" w:rsidR="00E52C92" w:rsidRDefault="00E52C92" w:rsidP="00E52C92">
      <w:pPr>
        <w:pStyle w:val="Tekstprzypisudolnego"/>
      </w:pPr>
      <w:r>
        <w:rPr>
          <w:rStyle w:val="Odwoanieprzypisudolnego"/>
        </w:rPr>
        <w:footnoteRef/>
      </w:r>
      <w:r>
        <w:t xml:space="preserve"> </w:t>
      </w:r>
      <w:r w:rsidRPr="000A2724">
        <w:rPr>
          <w:rFonts w:eastAsia="Times New Roman"/>
        </w:rPr>
        <w:t>Związane one są z bardziej rygorystycznymi limitami dla usuwania biogenów, wprowadzeniem wymogu usuwania mikrozanieczyszczeń, koniecznością uzyskania neutralności energetycznej oraz redukcji emisji gazów cieplarnianych przez oczyszczalnie ścieków, odzyskiem wody i biogenów oraz ustanowieniem aglomeracji od 1000 RLM</w:t>
      </w:r>
      <w:r>
        <w:rPr>
          <w:rFonts w:eastAsia="Times New Roman"/>
        </w:rPr>
        <w:t>.</w:t>
      </w:r>
    </w:p>
  </w:footnote>
  <w:footnote w:id="63">
    <w:p w14:paraId="571AE8D1" w14:textId="77777777" w:rsidR="00E52C92" w:rsidRPr="00FC3723" w:rsidRDefault="00E52C92" w:rsidP="00E52C92">
      <w:pPr>
        <w:pStyle w:val="Tekstprzypisudolnego"/>
      </w:pPr>
      <w:r>
        <w:rPr>
          <w:rStyle w:val="Odwoanieprzypisudolnego"/>
        </w:rPr>
        <w:footnoteRef/>
      </w:r>
      <w:r>
        <w:t xml:space="preserve"> </w:t>
      </w:r>
      <w:r w:rsidRPr="00FC3723">
        <w:t>Państwowy Instytut Geologiczny – Państwowy Instytut Badawczy, Bilans zasobów eksploatacyjnych wód podziemnych w Polsce wg stanu na dzień 31 grudnia 2023 r., Warszawa 2024</w:t>
      </w:r>
    </w:p>
    <w:p w14:paraId="3E62885F" w14:textId="77777777" w:rsidR="00E52C92" w:rsidRDefault="00E52C92" w:rsidP="00E52C92">
      <w:pPr>
        <w:pStyle w:val="Tekstprzypisudolnego"/>
      </w:pPr>
    </w:p>
  </w:footnote>
  <w:footnote w:id="64">
    <w:p w14:paraId="6516744F" w14:textId="77777777" w:rsidR="00E52C92" w:rsidRDefault="00E52C92" w:rsidP="00E52C92">
      <w:pPr>
        <w:pStyle w:val="Tekstprzypisudolnego"/>
      </w:pPr>
      <w:r>
        <w:rPr>
          <w:rStyle w:val="Odwoanieprzypisudolnego"/>
        </w:rPr>
        <w:footnoteRef/>
      </w:r>
      <w:r>
        <w:t xml:space="preserve"> </w:t>
      </w:r>
      <w:r w:rsidRPr="00B01BBA">
        <w:t xml:space="preserve">GDOŚ, Centralny Rejestr Form Ochrony Przyrody i </w:t>
      </w:r>
      <w:proofErr w:type="spellStart"/>
      <w:r w:rsidRPr="00B01BBA">
        <w:t>Geoserwis</w:t>
      </w:r>
      <w:proofErr w:type="spellEnd"/>
      <w:r w:rsidRPr="00B01BBA">
        <w:t xml:space="preserve"> GDOŚ; </w:t>
      </w:r>
      <w:proofErr w:type="spellStart"/>
      <w:r w:rsidRPr="00B01BBA">
        <w:t>Ramsar</w:t>
      </w:r>
      <w:proofErr w:type="spellEnd"/>
      <w:r w:rsidRPr="00B01BBA">
        <w:t xml:space="preserve"> </w:t>
      </w:r>
      <w:proofErr w:type="spellStart"/>
      <w:r w:rsidRPr="00B01BBA">
        <w:t>Sites</w:t>
      </w:r>
      <w:proofErr w:type="spellEnd"/>
      <w:r w:rsidRPr="00B01BBA">
        <w:t xml:space="preserve"> Information Service, dostęp: 25.06.2026 r.</w:t>
      </w:r>
    </w:p>
  </w:footnote>
  <w:footnote w:id="65">
    <w:p w14:paraId="2978E5B3" w14:textId="77777777" w:rsidR="00E52C92" w:rsidRDefault="00E52C92" w:rsidP="00E52C92">
      <w:pPr>
        <w:pStyle w:val="Tekstprzypisudolnego"/>
      </w:pPr>
      <w:r>
        <w:rPr>
          <w:rStyle w:val="Odwoanieprzypisudolnego"/>
        </w:rPr>
        <w:footnoteRef/>
      </w:r>
      <w:r>
        <w:t xml:space="preserve"> </w:t>
      </w:r>
      <w:r w:rsidRPr="00D64D2B">
        <w:t>Prognoza demograficzna dla województwa pomorskiego do 2050 roku, Pomorskie Biuro Planowania Regionalnego w Gdańsku, 2024</w:t>
      </w:r>
    </w:p>
  </w:footnote>
  <w:footnote w:id="66">
    <w:p w14:paraId="1E10C631" w14:textId="77777777" w:rsidR="00E52C92" w:rsidRDefault="00E52C92" w:rsidP="00E52C92">
      <w:pPr>
        <w:pStyle w:val="Tekstprzypisudolnego"/>
      </w:pPr>
      <w:r>
        <w:rPr>
          <w:rStyle w:val="Odwoanieprzypisudolnego"/>
        </w:rPr>
        <w:footnoteRef/>
      </w:r>
      <w:r>
        <w:t xml:space="preserve"> </w:t>
      </w:r>
      <w:r w:rsidRPr="00B97CD5">
        <w:t>Raport o stanie rynku telekomunikacyjnego w Polsce w 202</w:t>
      </w:r>
      <w:r>
        <w:t>5</w:t>
      </w:r>
      <w:r w:rsidRPr="00B97CD5">
        <w:t xml:space="preserve"> r., UKE, czerwiec 202</w:t>
      </w:r>
      <w:r>
        <w:t>6</w:t>
      </w:r>
      <w:r w:rsidRPr="00B97CD5">
        <w:t xml:space="preserve"> r.</w:t>
      </w:r>
    </w:p>
  </w:footnote>
  <w:footnote w:id="67">
    <w:p w14:paraId="04900831" w14:textId="77777777" w:rsidR="00E52C92" w:rsidRDefault="00E52C92" w:rsidP="00E52C92">
      <w:pPr>
        <w:pStyle w:val="Tekstprzypisudolnego"/>
      </w:pPr>
      <w:r>
        <w:rPr>
          <w:rStyle w:val="Odwoanieprzypisudolnego"/>
        </w:rPr>
        <w:footnoteRef/>
      </w:r>
      <w:r>
        <w:t xml:space="preserve"> Mapa potrzeb zdrowotnych na lata 2022-2026</w:t>
      </w:r>
    </w:p>
  </w:footnote>
  <w:footnote w:id="68">
    <w:p w14:paraId="2496F0BB" w14:textId="77777777" w:rsidR="00E52C92" w:rsidRDefault="00E52C92" w:rsidP="00E52C92">
      <w:pPr>
        <w:pStyle w:val="Tekstprzypisudolnego"/>
      </w:pPr>
      <w:r>
        <w:rPr>
          <w:rStyle w:val="Odwoanieprzypisudolnego"/>
        </w:rPr>
        <w:footnoteRef/>
      </w:r>
      <w:r>
        <w:t xml:space="preserve"> Ibidem</w:t>
      </w:r>
    </w:p>
  </w:footnote>
  <w:footnote w:id="69">
    <w:p w14:paraId="4D9E00DD" w14:textId="77777777" w:rsidR="00E52C92" w:rsidRDefault="00E52C92" w:rsidP="00E52C92">
      <w:pPr>
        <w:pStyle w:val="Tekstprzypisudolnego"/>
      </w:pPr>
      <w:r>
        <w:rPr>
          <w:rStyle w:val="Odwoanieprzypisudolnego"/>
        </w:rPr>
        <w:footnoteRef/>
      </w:r>
      <w:r>
        <w:t xml:space="preserve"> </w:t>
      </w:r>
      <w:r w:rsidRPr="00EB2D3D">
        <w:rPr>
          <w:bCs/>
        </w:rPr>
        <w:t xml:space="preserve">Analiza skali wykluczenia komunikacyjnego na obszarze Polski wraz z rekomendacjami zmian legislacyjnych w kontekście publicznego transportu zbiorowego, </w:t>
      </w:r>
      <w:r w:rsidRPr="00EB2D3D">
        <w:t>Konsorcjum – Politechniki: Poznańska, Gdańska, Śląska i Warszawska, 2025</w:t>
      </w:r>
    </w:p>
  </w:footnote>
  <w:footnote w:id="70">
    <w:p w14:paraId="4193EA56" w14:textId="77777777" w:rsidR="00E52C92" w:rsidRDefault="00E52C92" w:rsidP="00E52C92">
      <w:pPr>
        <w:pStyle w:val="Tekstprzypisudolnego"/>
      </w:pPr>
      <w:r>
        <w:rPr>
          <w:rStyle w:val="Odwoanieprzypisudolnego"/>
        </w:rPr>
        <w:footnoteRef/>
      </w:r>
      <w:r>
        <w:t xml:space="preserve"> Dane Pomorskiego Biura Planowania Regionalnego i Przestrzennego</w:t>
      </w:r>
    </w:p>
  </w:footnote>
  <w:footnote w:id="71">
    <w:p w14:paraId="6291CD17" w14:textId="77777777" w:rsidR="00E52C92" w:rsidRDefault="00E52C92" w:rsidP="00E52C92">
      <w:pPr>
        <w:pStyle w:val="Tekstprzypisudolnego"/>
      </w:pPr>
      <w:r>
        <w:rPr>
          <w:rStyle w:val="Odwoanieprzypisudolnego"/>
        </w:rPr>
        <w:footnoteRef/>
      </w:r>
      <w:r>
        <w:t xml:space="preserve"> </w:t>
      </w:r>
      <w:hyperlink r:id="rId8" w:history="1">
        <w:r w:rsidRPr="00BA4B4C">
          <w:rPr>
            <w:rStyle w:val="Hipercze"/>
          </w:rPr>
          <w:t>https://www.tomtom.com/traffic-index/</w:t>
        </w:r>
      </w:hyperlink>
    </w:p>
  </w:footnote>
  <w:footnote w:id="72">
    <w:p w14:paraId="56423DA5" w14:textId="2C6A972D" w:rsidR="00A971B4" w:rsidRDefault="00A971B4">
      <w:pPr>
        <w:pStyle w:val="Tekstprzypisudolnego"/>
      </w:pPr>
      <w:r>
        <w:rPr>
          <w:rStyle w:val="Odwoanieprzypisudolnego"/>
        </w:rPr>
        <w:footnoteRef/>
      </w:r>
      <w:r>
        <w:t xml:space="preserve"> </w:t>
      </w:r>
      <w:r w:rsidRPr="00A971B4">
        <w:t>Obszary szczególnego zagrożenia powodziowego zostały wyznaczone: 1) w zlewniach większości rzek w</w:t>
      </w:r>
      <w:r w:rsidR="0039302D">
        <w:t> </w:t>
      </w:r>
      <w:r w:rsidRPr="00A971B4">
        <w:t xml:space="preserve">województwie pomorskim (wzdłuż całości lub części cieku), w tym: Wisły, Wisły Śmiałej, Wisły Królewieckiej, Martwej Wisły, </w:t>
      </w:r>
      <w:proofErr w:type="spellStart"/>
      <w:r w:rsidRPr="00A971B4">
        <w:t>Tugi</w:t>
      </w:r>
      <w:proofErr w:type="spellEnd"/>
      <w:r w:rsidRPr="00A971B4">
        <w:t xml:space="preserve">, Szkarpawy, Nogatu, Liwy, Motławy, Opływu Motławy, Raduni, Redy, Piaśnicy, </w:t>
      </w:r>
      <w:proofErr w:type="spellStart"/>
      <w:r w:rsidRPr="00A971B4">
        <w:t>Bolszewki</w:t>
      </w:r>
      <w:proofErr w:type="spellEnd"/>
      <w:r w:rsidRPr="00A971B4">
        <w:t xml:space="preserve">, Łeby, Łupawy, Słupi, Wieprzy, Gwdy, Brdy, Kamionki, Wdy, Czarnej Wody, </w:t>
      </w:r>
      <w:proofErr w:type="spellStart"/>
      <w:r w:rsidRPr="00A971B4">
        <w:t>Skotawy</w:t>
      </w:r>
      <w:proofErr w:type="spellEnd"/>
      <w:r w:rsidRPr="00A971B4">
        <w:t>, Wierzycy, 2) wokół lub wzdłuż odcinków brzegów części jezior, m.in. Sarbsko, Łebsko, Gardno, Charzykowskiego, Wdzydze, Szczytno, Karsińskie, Jasień, 3) na fragmentach obszaru Żuław, 4) odcinkowo wzdłuż brzegu Zalewu Wiślanego, 5) wzdłuż brzegu Morza Bałtyckiego, w tym Zatoki Gdańskiej i Puckiej (zwłaszcza w pasie technicznym)</w:t>
      </w:r>
    </w:p>
  </w:footnote>
  <w:footnote w:id="73">
    <w:p w14:paraId="5B706EEA" w14:textId="77777777" w:rsidR="00E52C92" w:rsidRDefault="00E52C92" w:rsidP="00E52C92">
      <w:pPr>
        <w:pStyle w:val="Tekstprzypisudolnego"/>
      </w:pPr>
      <w:r>
        <w:rPr>
          <w:rStyle w:val="Odwoanieprzypisudolnego"/>
        </w:rPr>
        <w:footnoteRef/>
      </w:r>
      <w:r>
        <w:t xml:space="preserve"> </w:t>
      </w:r>
      <w:hyperlink r:id="rId9" w:history="1">
        <w:r w:rsidRPr="002F6C56">
          <w:rPr>
            <w:rStyle w:val="Hipercze"/>
          </w:rPr>
          <w:t>https://wody.isok.gov.pl/hydroportal.html</w:t>
        </w:r>
      </w:hyperlink>
      <w:r>
        <w:t xml:space="preserve"> </w:t>
      </w:r>
    </w:p>
  </w:footnote>
  <w:footnote w:id="74">
    <w:p w14:paraId="6D24912E" w14:textId="77777777" w:rsidR="00E32496" w:rsidRDefault="00E32496" w:rsidP="00E32496">
      <w:pPr>
        <w:pStyle w:val="Tekstprzypisudolnego"/>
        <w:rPr>
          <w:rFonts w:ascii="Lato" w:hAnsi="Lato"/>
          <w:sz w:val="16"/>
          <w:szCs w:val="16"/>
        </w:rPr>
      </w:pPr>
      <w:r>
        <w:rPr>
          <w:rStyle w:val="Odwoanieprzypisudolnego"/>
          <w:rFonts w:eastAsia="Lato" w:cs="Lato"/>
          <w:sz w:val="16"/>
          <w:szCs w:val="16"/>
        </w:rPr>
        <w:footnoteRef/>
      </w:r>
      <w:r>
        <w:rPr>
          <w:rFonts w:eastAsia="Lato" w:cs="Lato"/>
          <w:sz w:val="16"/>
          <w:szCs w:val="16"/>
        </w:rPr>
        <w:t xml:space="preserve"> Część gmin powiatu człuchowskiego znajduje się w zasięgu silnych powiązań funkcjonalnych Szczecinka (woj. zachodniopomorskie).</w:t>
      </w:r>
    </w:p>
  </w:footnote>
  <w:footnote w:id="75">
    <w:p w14:paraId="2EE28D1F" w14:textId="77777777" w:rsidR="00E32496" w:rsidRDefault="00E32496" w:rsidP="00E32496">
      <w:pPr>
        <w:pStyle w:val="Tekstprzypisudolnego"/>
        <w:rPr>
          <w:rFonts w:ascii="Lato" w:hAnsi="Lato"/>
          <w:sz w:val="14"/>
          <w:szCs w:val="16"/>
        </w:rPr>
      </w:pPr>
      <w:r>
        <w:rPr>
          <w:rStyle w:val="Odwoanieprzypisudolnego"/>
          <w:rFonts w:eastAsia="Lato" w:cs="Lato"/>
          <w:sz w:val="16"/>
          <w:szCs w:val="16"/>
        </w:rPr>
        <w:footnoteRef/>
      </w:r>
      <w:r>
        <w:rPr>
          <w:rFonts w:eastAsia="Lato" w:cs="Lato"/>
          <w:sz w:val="16"/>
          <w:szCs w:val="16"/>
        </w:rPr>
        <w:t xml:space="preserve"> </w:t>
      </w:r>
      <w:r>
        <w:rPr>
          <w:rFonts w:eastAsia="Lato,Lato,Lato,Lato,Lato,Calibr" w:cs="Lato,Lato,Lato,Lato,Lato,Calibr"/>
          <w:sz w:val="16"/>
          <w:szCs w:val="16"/>
        </w:rPr>
        <w:t>Zasadność wzmocnienia rangi tego miasta potwierdzają wyniki analiz prowadzonych w 2015 r. w celu określenia zasięgów miejskich obszarów funkcjonalnych, zgodnie z którymi Miastko jest jedynym ośrodkiem niebędącym siedzibą powiatu o wyraźnie formującej się strefie funkcjonalnej.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CB32" w14:textId="77777777" w:rsidR="002A0248" w:rsidRDefault="002A0248" w:rsidP="00423362">
    <w:pPr>
      <w:pStyle w:val="Nagwek"/>
      <w:jc w:val="center"/>
    </w:pPr>
    <w:r>
      <w:rPr>
        <w:noProof/>
      </w:rPr>
      <w:drawing>
        <wp:inline distT="0" distB="0" distL="0" distR="0" wp14:anchorId="751FCB1A" wp14:editId="5690F216">
          <wp:extent cx="2380890" cy="431981"/>
          <wp:effectExtent l="0" t="0" r="635" b="6350"/>
          <wp:docPr id="1044479578" name="Obraz 1" descr="Herb Samorządu Województwa Pomorskiego i nazwa Samorządu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79578" name="Obraz 1" descr="Herb Samorządu Województwa Pomorskiego i nazwa Samorządu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2755" cy="4704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5E4F" w14:textId="1CD89831" w:rsidR="00423362" w:rsidRDefault="00423362" w:rsidP="00423362">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0D65" w14:textId="5DC26CAC" w:rsidR="00BB2056" w:rsidRDefault="00BB2056" w:rsidP="00F405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3FA57F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5647723"/>
    <w:multiLevelType w:val="hybridMultilevel"/>
    <w:tmpl w:val="E08048B4"/>
    <w:lvl w:ilvl="0" w:tplc="8D4286CA">
      <w:start w:val="1"/>
      <w:numFmt w:val="lowerLetter"/>
      <w:lvlText w:val="%1)"/>
      <w:lvlJc w:val="left"/>
      <w:pPr>
        <w:tabs>
          <w:tab w:val="num" w:pos="360"/>
        </w:tabs>
        <w:ind w:left="360" w:hanging="36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76276D"/>
    <w:multiLevelType w:val="hybridMultilevel"/>
    <w:tmpl w:val="708AE5CA"/>
    <w:lvl w:ilvl="0" w:tplc="3FBEDA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5AD673C"/>
    <w:multiLevelType w:val="hybridMultilevel"/>
    <w:tmpl w:val="1E2E4A42"/>
    <w:lvl w:ilvl="0" w:tplc="04150017">
      <w:start w:val="1"/>
      <w:numFmt w:val="lowerLetter"/>
      <w:lvlText w:val="%1)"/>
      <w:lvlJc w:val="left"/>
      <w:pPr>
        <w:tabs>
          <w:tab w:val="num" w:pos="210"/>
        </w:tabs>
        <w:ind w:left="210" w:hanging="360"/>
      </w:pPr>
    </w:lvl>
    <w:lvl w:ilvl="1" w:tplc="8A8463C2">
      <w:start w:val="1"/>
      <w:numFmt w:val="bullet"/>
      <w:lvlText w:val=""/>
      <w:lvlJc w:val="left"/>
      <w:pPr>
        <w:tabs>
          <w:tab w:val="num" w:pos="930"/>
        </w:tabs>
        <w:ind w:left="930" w:hanging="360"/>
      </w:pPr>
      <w:rPr>
        <w:rFonts w:ascii="Symbol" w:hAnsi="Symbol" w:hint="default"/>
        <w:color w:val="auto"/>
        <w:sz w:val="20"/>
      </w:rPr>
    </w:lvl>
    <w:lvl w:ilvl="2" w:tplc="0415001B" w:tentative="1">
      <w:start w:val="1"/>
      <w:numFmt w:val="lowerRoman"/>
      <w:lvlText w:val="%3."/>
      <w:lvlJc w:val="right"/>
      <w:pPr>
        <w:tabs>
          <w:tab w:val="num" w:pos="1650"/>
        </w:tabs>
        <w:ind w:left="1650" w:hanging="180"/>
      </w:pPr>
    </w:lvl>
    <w:lvl w:ilvl="3" w:tplc="0415000F" w:tentative="1">
      <w:start w:val="1"/>
      <w:numFmt w:val="decimal"/>
      <w:lvlText w:val="%4."/>
      <w:lvlJc w:val="left"/>
      <w:pPr>
        <w:tabs>
          <w:tab w:val="num" w:pos="2370"/>
        </w:tabs>
        <w:ind w:left="2370" w:hanging="360"/>
      </w:pPr>
    </w:lvl>
    <w:lvl w:ilvl="4" w:tplc="04150019" w:tentative="1">
      <w:start w:val="1"/>
      <w:numFmt w:val="lowerLetter"/>
      <w:lvlText w:val="%5."/>
      <w:lvlJc w:val="left"/>
      <w:pPr>
        <w:tabs>
          <w:tab w:val="num" w:pos="3090"/>
        </w:tabs>
        <w:ind w:left="3090" w:hanging="360"/>
      </w:pPr>
    </w:lvl>
    <w:lvl w:ilvl="5" w:tplc="0415001B" w:tentative="1">
      <w:start w:val="1"/>
      <w:numFmt w:val="lowerRoman"/>
      <w:lvlText w:val="%6."/>
      <w:lvlJc w:val="right"/>
      <w:pPr>
        <w:tabs>
          <w:tab w:val="num" w:pos="3810"/>
        </w:tabs>
        <w:ind w:left="3810" w:hanging="180"/>
      </w:pPr>
    </w:lvl>
    <w:lvl w:ilvl="6" w:tplc="0415000F" w:tentative="1">
      <w:start w:val="1"/>
      <w:numFmt w:val="decimal"/>
      <w:lvlText w:val="%7."/>
      <w:lvlJc w:val="left"/>
      <w:pPr>
        <w:tabs>
          <w:tab w:val="num" w:pos="4530"/>
        </w:tabs>
        <w:ind w:left="4530" w:hanging="360"/>
      </w:pPr>
    </w:lvl>
    <w:lvl w:ilvl="7" w:tplc="04150019" w:tentative="1">
      <w:start w:val="1"/>
      <w:numFmt w:val="lowerLetter"/>
      <w:lvlText w:val="%8."/>
      <w:lvlJc w:val="left"/>
      <w:pPr>
        <w:tabs>
          <w:tab w:val="num" w:pos="5250"/>
        </w:tabs>
        <w:ind w:left="5250" w:hanging="360"/>
      </w:pPr>
    </w:lvl>
    <w:lvl w:ilvl="8" w:tplc="0415001B" w:tentative="1">
      <w:start w:val="1"/>
      <w:numFmt w:val="lowerRoman"/>
      <w:lvlText w:val="%9."/>
      <w:lvlJc w:val="right"/>
      <w:pPr>
        <w:tabs>
          <w:tab w:val="num" w:pos="5970"/>
        </w:tabs>
        <w:ind w:left="5970" w:hanging="180"/>
      </w:pPr>
    </w:lvl>
  </w:abstractNum>
  <w:abstractNum w:abstractNumId="4" w15:restartNumberingAfterBreak="0">
    <w:nsid w:val="0636026A"/>
    <w:multiLevelType w:val="hybridMultilevel"/>
    <w:tmpl w:val="7F4E6956"/>
    <w:lvl w:ilvl="0" w:tplc="3FBEDA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69C4CF0"/>
    <w:multiLevelType w:val="hybridMultilevel"/>
    <w:tmpl w:val="EE54A8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282D5E"/>
    <w:multiLevelType w:val="hybridMultilevel"/>
    <w:tmpl w:val="5E94C7AA"/>
    <w:lvl w:ilvl="0" w:tplc="3FBEDA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7DC243F"/>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1441F2"/>
    <w:multiLevelType w:val="hybridMultilevel"/>
    <w:tmpl w:val="CF70AE80"/>
    <w:lvl w:ilvl="0" w:tplc="04150001">
      <w:start w:val="1"/>
      <w:numFmt w:val="bullet"/>
      <w:lvlText w:val=""/>
      <w:lvlJc w:val="left"/>
      <w:pPr>
        <w:tabs>
          <w:tab w:val="num" w:pos="717"/>
        </w:tabs>
        <w:ind w:left="717" w:hanging="360"/>
      </w:pPr>
      <w:rPr>
        <w:rFonts w:ascii="Symbol" w:hAnsi="Symbol" w:hint="default"/>
      </w:rPr>
    </w:lvl>
    <w:lvl w:ilvl="1" w:tplc="FFFFFFFF">
      <w:start w:val="1"/>
      <w:numFmt w:val="bullet"/>
      <w:lvlText w:val=""/>
      <w:lvlJc w:val="left"/>
      <w:pPr>
        <w:tabs>
          <w:tab w:val="num" w:pos="1437"/>
        </w:tabs>
        <w:ind w:left="1437" w:hanging="360"/>
      </w:pPr>
      <w:rPr>
        <w:rFonts w:ascii="Symbol" w:hAnsi="Symbol" w:hint="default"/>
        <w:color w:val="auto"/>
        <w:sz w:val="20"/>
      </w:rPr>
    </w:lvl>
    <w:lvl w:ilvl="2" w:tplc="FFFFFFFF" w:tentative="1">
      <w:start w:val="1"/>
      <w:numFmt w:val="lowerRoman"/>
      <w:lvlText w:val="%3."/>
      <w:lvlJc w:val="right"/>
      <w:pPr>
        <w:tabs>
          <w:tab w:val="num" w:pos="2157"/>
        </w:tabs>
        <w:ind w:left="2157" w:hanging="180"/>
      </w:pPr>
    </w:lvl>
    <w:lvl w:ilvl="3" w:tplc="FFFFFFFF" w:tentative="1">
      <w:start w:val="1"/>
      <w:numFmt w:val="decimal"/>
      <w:lvlText w:val="%4."/>
      <w:lvlJc w:val="left"/>
      <w:pPr>
        <w:tabs>
          <w:tab w:val="num" w:pos="2877"/>
        </w:tabs>
        <w:ind w:left="2877" w:hanging="360"/>
      </w:pPr>
    </w:lvl>
    <w:lvl w:ilvl="4" w:tplc="FFFFFFFF" w:tentative="1">
      <w:start w:val="1"/>
      <w:numFmt w:val="lowerLetter"/>
      <w:lvlText w:val="%5."/>
      <w:lvlJc w:val="left"/>
      <w:pPr>
        <w:tabs>
          <w:tab w:val="num" w:pos="3597"/>
        </w:tabs>
        <w:ind w:left="3597" w:hanging="360"/>
      </w:pPr>
    </w:lvl>
    <w:lvl w:ilvl="5" w:tplc="FFFFFFFF" w:tentative="1">
      <w:start w:val="1"/>
      <w:numFmt w:val="lowerRoman"/>
      <w:lvlText w:val="%6."/>
      <w:lvlJc w:val="right"/>
      <w:pPr>
        <w:tabs>
          <w:tab w:val="num" w:pos="4317"/>
        </w:tabs>
        <w:ind w:left="4317" w:hanging="180"/>
      </w:pPr>
    </w:lvl>
    <w:lvl w:ilvl="6" w:tplc="FFFFFFFF" w:tentative="1">
      <w:start w:val="1"/>
      <w:numFmt w:val="decimal"/>
      <w:lvlText w:val="%7."/>
      <w:lvlJc w:val="left"/>
      <w:pPr>
        <w:tabs>
          <w:tab w:val="num" w:pos="5037"/>
        </w:tabs>
        <w:ind w:left="5037" w:hanging="360"/>
      </w:pPr>
    </w:lvl>
    <w:lvl w:ilvl="7" w:tplc="FFFFFFFF" w:tentative="1">
      <w:start w:val="1"/>
      <w:numFmt w:val="lowerLetter"/>
      <w:lvlText w:val="%8."/>
      <w:lvlJc w:val="left"/>
      <w:pPr>
        <w:tabs>
          <w:tab w:val="num" w:pos="5757"/>
        </w:tabs>
        <w:ind w:left="5757" w:hanging="360"/>
      </w:pPr>
    </w:lvl>
    <w:lvl w:ilvl="8" w:tplc="FFFFFFFF" w:tentative="1">
      <w:start w:val="1"/>
      <w:numFmt w:val="lowerRoman"/>
      <w:lvlText w:val="%9."/>
      <w:lvlJc w:val="right"/>
      <w:pPr>
        <w:tabs>
          <w:tab w:val="num" w:pos="6477"/>
        </w:tabs>
        <w:ind w:left="6477" w:hanging="180"/>
      </w:pPr>
    </w:lvl>
  </w:abstractNum>
  <w:abstractNum w:abstractNumId="9" w15:restartNumberingAfterBreak="0">
    <w:nsid w:val="0AD37E3D"/>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0B4393"/>
    <w:multiLevelType w:val="hybridMultilevel"/>
    <w:tmpl w:val="60DEAA1A"/>
    <w:lvl w:ilvl="0" w:tplc="04150001">
      <w:start w:val="1"/>
      <w:numFmt w:val="bullet"/>
      <w:lvlText w:val=""/>
      <w:lvlJc w:val="left"/>
      <w:pPr>
        <w:ind w:left="720" w:hanging="360"/>
      </w:pPr>
      <w:rPr>
        <w:rFonts w:ascii="Symbol" w:hAnsi="Symbol" w:hint="default"/>
        <w:b w:val="0"/>
        <w:bCs/>
        <w:i w:val="0"/>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CE55647"/>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9C4898"/>
    <w:multiLevelType w:val="multilevel"/>
    <w:tmpl w:val="4AF05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EA0DEB"/>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E06A7F"/>
    <w:multiLevelType w:val="hybridMultilevel"/>
    <w:tmpl w:val="DD127D5C"/>
    <w:lvl w:ilvl="0" w:tplc="04150001">
      <w:start w:val="1"/>
      <w:numFmt w:val="bullet"/>
      <w:lvlText w:val=""/>
      <w:lvlJc w:val="left"/>
      <w:pPr>
        <w:ind w:left="720" w:hanging="360"/>
      </w:pPr>
      <w:rPr>
        <w:rFonts w:ascii="Symbol" w:hAnsi="Symbol" w:hint="default"/>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F16333"/>
    <w:multiLevelType w:val="hybridMultilevel"/>
    <w:tmpl w:val="F040661A"/>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6" w15:restartNumberingAfterBreak="0">
    <w:nsid w:val="0F600192"/>
    <w:multiLevelType w:val="hybridMultilevel"/>
    <w:tmpl w:val="63A8A0CC"/>
    <w:lvl w:ilvl="0" w:tplc="40F8C5AC">
      <w:start w:val="1"/>
      <w:numFmt w:val="decimal"/>
      <w:lvlText w:val="%1."/>
      <w:lvlJc w:val="left"/>
      <w:pPr>
        <w:ind w:left="720" w:hanging="360"/>
      </w:pPr>
      <w:rPr>
        <w:rFonts w:asciiTheme="minorHAnsi" w:eastAsiaTheme="minorHAnsi" w:hAnsiTheme="minorHAnsi" w:cs="Calibri"/>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3C0535E"/>
    <w:multiLevelType w:val="hybridMultilevel"/>
    <w:tmpl w:val="0F12A3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D96F34"/>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4EB3535"/>
    <w:multiLevelType w:val="hybridMultilevel"/>
    <w:tmpl w:val="EE54A8B8"/>
    <w:lvl w:ilvl="0" w:tplc="7C0C5438">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9631580"/>
    <w:multiLevelType w:val="multilevel"/>
    <w:tmpl w:val="17128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62461A"/>
    <w:multiLevelType w:val="hybridMultilevel"/>
    <w:tmpl w:val="43DE30F2"/>
    <w:lvl w:ilvl="0" w:tplc="D5ACDFA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4639B9"/>
    <w:multiLevelType w:val="multilevel"/>
    <w:tmpl w:val="53347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0265DE"/>
    <w:multiLevelType w:val="hybridMultilevel"/>
    <w:tmpl w:val="797883FE"/>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E671E4A"/>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1712627"/>
    <w:multiLevelType w:val="hybridMultilevel"/>
    <w:tmpl w:val="C1B25D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B86462"/>
    <w:multiLevelType w:val="hybridMultilevel"/>
    <w:tmpl w:val="9F96E356"/>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 w15:restartNumberingAfterBreak="0">
    <w:nsid w:val="2A1E6F73"/>
    <w:multiLevelType w:val="hybridMultilevel"/>
    <w:tmpl w:val="3B06CD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A960466"/>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BC84209"/>
    <w:multiLevelType w:val="hybridMultilevel"/>
    <w:tmpl w:val="0606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C17297F"/>
    <w:multiLevelType w:val="hybridMultilevel"/>
    <w:tmpl w:val="D188D7E6"/>
    <w:lvl w:ilvl="0" w:tplc="04150001">
      <w:start w:val="1"/>
      <w:numFmt w:val="bullet"/>
      <w:lvlText w:val=""/>
      <w:lvlJc w:val="left"/>
      <w:pPr>
        <w:ind w:left="720" w:hanging="360"/>
      </w:pPr>
      <w:rPr>
        <w:rFonts w:ascii="Symbol" w:hAnsi="Symbol" w:hint="default"/>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D92025E"/>
    <w:multiLevelType w:val="hybridMultilevel"/>
    <w:tmpl w:val="43DE30F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F9939E3"/>
    <w:multiLevelType w:val="hybridMultilevel"/>
    <w:tmpl w:val="200278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1041135"/>
    <w:multiLevelType w:val="hybridMultilevel"/>
    <w:tmpl w:val="B04E4FCE"/>
    <w:lvl w:ilvl="0" w:tplc="FFFFFFFF">
      <w:start w:val="1"/>
      <w:numFmt w:val="bullet"/>
      <w:lvlText w:val=""/>
      <w:lvlJc w:val="left"/>
      <w:pPr>
        <w:ind w:left="720" w:hanging="360"/>
      </w:pPr>
      <w:rPr>
        <w:rFonts w:ascii="Symbol" w:hAnsi="Symbol" w:hint="default"/>
        <w:b w:val="0"/>
        <w:bCs/>
        <w:i w:val="0"/>
        <w:sz w:val="22"/>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A2029CE"/>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D05CD1"/>
    <w:multiLevelType w:val="hybridMultilevel"/>
    <w:tmpl w:val="1298B556"/>
    <w:lvl w:ilvl="0" w:tplc="C07CD756">
      <w:numFmt w:val="bullet"/>
      <w:lvlText w:val=""/>
      <w:lvlJc w:val="left"/>
      <w:pPr>
        <w:ind w:left="720" w:hanging="360"/>
      </w:pPr>
      <w:rPr>
        <w:rFonts w:ascii="Symbol" w:hAnsi="Symbol" w:cstheme="minorHAnsi" w:hint="default"/>
        <w:b/>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67015B"/>
    <w:multiLevelType w:val="hybridMultilevel"/>
    <w:tmpl w:val="3E3C07CA"/>
    <w:lvl w:ilvl="0" w:tplc="3FBEDA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43A1F6E"/>
    <w:multiLevelType w:val="hybridMultilevel"/>
    <w:tmpl w:val="E228D2C6"/>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5528E1"/>
    <w:multiLevelType w:val="hybridMultilevel"/>
    <w:tmpl w:val="82D25590"/>
    <w:lvl w:ilvl="0" w:tplc="F37A335E">
      <w:start w:val="1"/>
      <w:numFmt w:val="upperRoman"/>
      <w:pStyle w:val="Nagwek1"/>
      <w:lvlText w:val="%1."/>
      <w:lvlJc w:val="right"/>
      <w:pPr>
        <w:ind w:left="794"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506298C"/>
    <w:multiLevelType w:val="hybridMultilevel"/>
    <w:tmpl w:val="35D6E40C"/>
    <w:lvl w:ilvl="0" w:tplc="4F667A20">
      <w:start w:val="1"/>
      <w:numFmt w:val="decimal"/>
      <w:lvlText w:val="%1."/>
      <w:lvlJc w:val="left"/>
      <w:pPr>
        <w:ind w:left="720" w:hanging="360"/>
      </w:pPr>
      <w:rPr>
        <w:rFonts w:cs="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4D6ED4"/>
    <w:multiLevelType w:val="hybridMultilevel"/>
    <w:tmpl w:val="20027892"/>
    <w:lvl w:ilvl="0" w:tplc="720A71F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89A6CFB"/>
    <w:multiLevelType w:val="hybridMultilevel"/>
    <w:tmpl w:val="4F2E260A"/>
    <w:lvl w:ilvl="0" w:tplc="FFFFFFFF">
      <w:start w:val="1"/>
      <w:numFmt w:val="bullet"/>
      <w:lvlText w:val=""/>
      <w:lvlJc w:val="left"/>
      <w:pPr>
        <w:ind w:left="720" w:hanging="360"/>
      </w:pPr>
      <w:rPr>
        <w:rFonts w:ascii="Symbol" w:hAnsi="Symbol" w:hint="default"/>
        <w:b w:val="0"/>
        <w:bCs/>
        <w:i w:val="0"/>
        <w:sz w:val="22"/>
      </w:rPr>
    </w:lvl>
    <w:lvl w:ilvl="1" w:tplc="041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EB4274F"/>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F4C5E31"/>
    <w:multiLevelType w:val="multilevel"/>
    <w:tmpl w:val="F74A7156"/>
    <w:lvl w:ilvl="0">
      <w:start w:val="1"/>
      <w:numFmt w:val="decimal"/>
      <w:lvlText w:val="%1)"/>
      <w:lvlJc w:val="left"/>
      <w:pPr>
        <w:tabs>
          <w:tab w:val="num" w:pos="567"/>
        </w:tabs>
        <w:ind w:left="567" w:hanging="425"/>
      </w:pPr>
      <w:rPr>
        <w:rFonts w:hint="default"/>
        <w:b w:val="0"/>
        <w:sz w:val="24"/>
        <w:szCs w:val="24"/>
      </w:rPr>
    </w:lvl>
    <w:lvl w:ilvl="1">
      <w:start w:val="1"/>
      <w:numFmt w:val="lowerLetter"/>
      <w:lvlText w:val="%2)"/>
      <w:lvlJc w:val="left"/>
      <w:pPr>
        <w:tabs>
          <w:tab w:val="num" w:pos="992"/>
        </w:tabs>
        <w:ind w:left="992" w:hanging="425"/>
      </w:pPr>
      <w:rPr>
        <w:rFonts w:asciiTheme="minorHAnsi" w:hAnsiTheme="minorHAnsi" w:hint="default"/>
        <w:b w:val="0"/>
        <w:sz w:val="24"/>
        <w:szCs w:val="24"/>
      </w:rPr>
    </w:lvl>
    <w:lvl w:ilvl="2">
      <w:start w:val="1"/>
      <w:numFmt w:val="bullet"/>
      <w:lvlText w:val="⚊"/>
      <w:lvlJc w:val="left"/>
      <w:pPr>
        <w:tabs>
          <w:tab w:val="num" w:pos="1247"/>
        </w:tabs>
        <w:ind w:left="1247" w:hanging="255"/>
      </w:pPr>
      <w:rPr>
        <w:rFonts w:ascii="Noto Sans Symbols2" w:hAnsi="Noto Sans Symbols2" w:hint="default"/>
      </w:rPr>
    </w:lvl>
    <w:lvl w:ilvl="3">
      <w:start w:val="1"/>
      <w:numFmt w:val="decimal"/>
      <w:lvlText w:val="%4."/>
      <w:lvlJc w:val="left"/>
      <w:pPr>
        <w:ind w:left="3021" w:hanging="360"/>
      </w:pPr>
      <w:rPr>
        <w:rFonts w:hint="default"/>
      </w:rPr>
    </w:lvl>
    <w:lvl w:ilvl="4">
      <w:start w:val="1"/>
      <w:numFmt w:val="lowerLetter"/>
      <w:lvlText w:val="%5."/>
      <w:lvlJc w:val="left"/>
      <w:pPr>
        <w:ind w:left="3741" w:hanging="360"/>
      </w:pPr>
      <w:rPr>
        <w:rFonts w:hint="default"/>
      </w:rPr>
    </w:lvl>
    <w:lvl w:ilvl="5">
      <w:start w:val="1"/>
      <w:numFmt w:val="lowerRoman"/>
      <w:lvlText w:val="%6."/>
      <w:lvlJc w:val="right"/>
      <w:pPr>
        <w:ind w:left="4461" w:hanging="180"/>
      </w:pPr>
      <w:rPr>
        <w:rFonts w:hint="default"/>
      </w:rPr>
    </w:lvl>
    <w:lvl w:ilvl="6">
      <w:start w:val="1"/>
      <w:numFmt w:val="decimal"/>
      <w:lvlText w:val="%7."/>
      <w:lvlJc w:val="left"/>
      <w:pPr>
        <w:ind w:left="5181" w:hanging="360"/>
      </w:pPr>
      <w:rPr>
        <w:rFonts w:hint="default"/>
      </w:rPr>
    </w:lvl>
    <w:lvl w:ilvl="7">
      <w:start w:val="1"/>
      <w:numFmt w:val="lowerLetter"/>
      <w:lvlText w:val="%8."/>
      <w:lvlJc w:val="left"/>
      <w:pPr>
        <w:ind w:left="5901" w:hanging="360"/>
      </w:pPr>
      <w:rPr>
        <w:rFonts w:hint="default"/>
      </w:rPr>
    </w:lvl>
    <w:lvl w:ilvl="8">
      <w:start w:val="1"/>
      <w:numFmt w:val="lowerRoman"/>
      <w:lvlText w:val="%9."/>
      <w:lvlJc w:val="right"/>
      <w:pPr>
        <w:ind w:left="6621" w:hanging="180"/>
      </w:pPr>
      <w:rPr>
        <w:rFonts w:hint="default"/>
      </w:rPr>
    </w:lvl>
  </w:abstractNum>
  <w:abstractNum w:abstractNumId="44" w15:restartNumberingAfterBreak="0">
    <w:nsid w:val="4FF76D67"/>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1CF3DA2"/>
    <w:multiLevelType w:val="hybridMultilevel"/>
    <w:tmpl w:val="2730B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2402122"/>
    <w:multiLevelType w:val="hybridMultilevel"/>
    <w:tmpl w:val="A24CA7C8"/>
    <w:lvl w:ilvl="0" w:tplc="42F63972">
      <w:start w:val="1"/>
      <w:numFmt w:val="lowerLetter"/>
      <w:lvlText w:val="%1)"/>
      <w:lvlJc w:val="left"/>
      <w:pPr>
        <w:ind w:left="720" w:hanging="360"/>
      </w:pPr>
      <w:rPr>
        <w:rFonts w:asciiTheme="minorHAnsi" w:eastAsia="Lato,Lato,Lato,Garamond,Cambria" w:hAnsiTheme="minorHAnsi" w:cstheme="minorHAnsi" w:hint="default"/>
        <w:color w:val="auto"/>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435698"/>
    <w:multiLevelType w:val="multilevel"/>
    <w:tmpl w:val="BB38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45B7331"/>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9AF624F"/>
    <w:multiLevelType w:val="hybridMultilevel"/>
    <w:tmpl w:val="E228D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BDA0B8F"/>
    <w:multiLevelType w:val="hybridMultilevel"/>
    <w:tmpl w:val="46FA6892"/>
    <w:lvl w:ilvl="0" w:tplc="9D5C3F6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262706"/>
    <w:multiLevelType w:val="multilevel"/>
    <w:tmpl w:val="03CE68DA"/>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5E79043F"/>
    <w:multiLevelType w:val="hybridMultilevel"/>
    <w:tmpl w:val="30B87776"/>
    <w:lvl w:ilvl="0" w:tplc="04150001">
      <w:start w:val="1"/>
      <w:numFmt w:val="bullet"/>
      <w:lvlText w:val=""/>
      <w:lvlJc w:val="left"/>
      <w:pPr>
        <w:ind w:left="720" w:hanging="360"/>
      </w:pPr>
      <w:rPr>
        <w:rFonts w:ascii="Symbol" w:hAnsi="Symbol" w:hint="default"/>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08D3A0C"/>
    <w:multiLevelType w:val="hybridMultilevel"/>
    <w:tmpl w:val="0E181838"/>
    <w:lvl w:ilvl="0" w:tplc="04150017">
      <w:start w:val="1"/>
      <w:numFmt w:val="lowerLetter"/>
      <w:lvlText w:val="%1)"/>
      <w:lvlJc w:val="left"/>
      <w:pPr>
        <w:tabs>
          <w:tab w:val="num" w:pos="360"/>
        </w:tabs>
        <w:ind w:left="360" w:hanging="360"/>
      </w:pPr>
    </w:lvl>
    <w:lvl w:ilvl="1" w:tplc="FFFFFFFF">
      <w:start w:val="1"/>
      <w:numFmt w:val="lowerLetter"/>
      <w:lvlText w:val="%2)"/>
      <w:lvlJc w:val="left"/>
      <w:pPr>
        <w:tabs>
          <w:tab w:val="num" w:pos="360"/>
        </w:tabs>
        <w:ind w:left="360" w:hanging="360"/>
      </w:pPr>
      <w:rPr>
        <w:rFonts w:asciiTheme="minorHAnsi" w:hAnsiTheme="minorHAnsi" w:cstheme="minorHAnsi" w:hint="default"/>
        <w:b w:val="0"/>
        <w:i w:val="0"/>
        <w:sz w:val="24"/>
        <w:szCs w:val="24"/>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4" w15:restartNumberingAfterBreak="0">
    <w:nsid w:val="62423846"/>
    <w:multiLevelType w:val="hybridMultilevel"/>
    <w:tmpl w:val="066487E2"/>
    <w:lvl w:ilvl="0" w:tplc="04150001">
      <w:start w:val="1"/>
      <w:numFmt w:val="bullet"/>
      <w:lvlText w:val=""/>
      <w:lvlJc w:val="left"/>
      <w:pPr>
        <w:ind w:left="720" w:hanging="360"/>
      </w:pPr>
      <w:rPr>
        <w:rFonts w:ascii="Symbol" w:hAnsi="Symbol" w:hint="default"/>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5BF24CB"/>
    <w:multiLevelType w:val="hybridMultilevel"/>
    <w:tmpl w:val="5B7E4B02"/>
    <w:lvl w:ilvl="0" w:tplc="3FBEDA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7A33642"/>
    <w:multiLevelType w:val="hybridMultilevel"/>
    <w:tmpl w:val="89DAFC7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B126D9C"/>
    <w:multiLevelType w:val="hybridMultilevel"/>
    <w:tmpl w:val="F22663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F6B2310"/>
    <w:multiLevelType w:val="hybridMultilevel"/>
    <w:tmpl w:val="960CCD7A"/>
    <w:lvl w:ilvl="0" w:tplc="9D5C3F6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525531"/>
    <w:multiLevelType w:val="hybridMultilevel"/>
    <w:tmpl w:val="37B463AE"/>
    <w:lvl w:ilvl="0" w:tplc="0415000F">
      <w:start w:val="1"/>
      <w:numFmt w:val="decimal"/>
      <w:lvlText w:val="%1."/>
      <w:lvlJc w:val="left"/>
      <w:pPr>
        <w:ind w:left="1571" w:hanging="360"/>
      </w:pPr>
      <w:rPr>
        <w:color w:val="auto"/>
      </w:r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60" w15:restartNumberingAfterBreak="0">
    <w:nsid w:val="709602F3"/>
    <w:multiLevelType w:val="hybridMultilevel"/>
    <w:tmpl w:val="AB685AE4"/>
    <w:lvl w:ilvl="0" w:tplc="3FBEDA4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10E6D27"/>
    <w:multiLevelType w:val="hybridMultilevel"/>
    <w:tmpl w:val="B614C81E"/>
    <w:lvl w:ilvl="0" w:tplc="04150017">
      <w:start w:val="1"/>
      <w:numFmt w:val="lowerLetter"/>
      <w:lvlText w:val="%1)"/>
      <w:lvlJc w:val="left"/>
      <w:pPr>
        <w:tabs>
          <w:tab w:val="num" w:pos="1004"/>
        </w:tabs>
        <w:ind w:left="1004" w:hanging="360"/>
      </w:pPr>
      <w:rPr>
        <w:rFonts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77AD7704"/>
    <w:multiLevelType w:val="hybridMultilevel"/>
    <w:tmpl w:val="6A023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EBA0C9B"/>
    <w:multiLevelType w:val="multilevel"/>
    <w:tmpl w:val="ADFA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0151814">
    <w:abstractNumId w:val="0"/>
  </w:num>
  <w:num w:numId="2" w16cid:durableId="1537309434">
    <w:abstractNumId w:val="20"/>
  </w:num>
  <w:num w:numId="3" w16cid:durableId="1453400404">
    <w:abstractNumId w:val="12"/>
  </w:num>
  <w:num w:numId="4" w16cid:durableId="1914194284">
    <w:abstractNumId w:val="47"/>
  </w:num>
  <w:num w:numId="5" w16cid:durableId="264853440">
    <w:abstractNumId w:val="63"/>
  </w:num>
  <w:num w:numId="6" w16cid:durableId="689768053">
    <w:abstractNumId w:val="22"/>
  </w:num>
  <w:num w:numId="7" w16cid:durableId="1044718514">
    <w:abstractNumId w:val="15"/>
  </w:num>
  <w:num w:numId="8" w16cid:durableId="1199270454">
    <w:abstractNumId w:val="14"/>
  </w:num>
  <w:num w:numId="9" w16cid:durableId="156112884">
    <w:abstractNumId w:val="52"/>
  </w:num>
  <w:num w:numId="10" w16cid:durableId="525411269">
    <w:abstractNumId w:val="54"/>
  </w:num>
  <w:num w:numId="11" w16cid:durableId="833838327">
    <w:abstractNumId w:val="10"/>
  </w:num>
  <w:num w:numId="12" w16cid:durableId="1522013380">
    <w:abstractNumId w:val="45"/>
  </w:num>
  <w:num w:numId="13" w16cid:durableId="978802055">
    <w:abstractNumId w:val="30"/>
  </w:num>
  <w:num w:numId="14" w16cid:durableId="1134300452">
    <w:abstractNumId w:val="33"/>
  </w:num>
  <w:num w:numId="15" w16cid:durableId="652369032">
    <w:abstractNumId w:val="41"/>
  </w:num>
  <w:num w:numId="16" w16cid:durableId="760417900">
    <w:abstractNumId w:val="57"/>
  </w:num>
  <w:num w:numId="17" w16cid:durableId="1562906916">
    <w:abstractNumId w:val="16"/>
  </w:num>
  <w:num w:numId="18" w16cid:durableId="1592006685">
    <w:abstractNumId w:val="61"/>
  </w:num>
  <w:num w:numId="19" w16cid:durableId="1722628431">
    <w:abstractNumId w:val="3"/>
  </w:num>
  <w:num w:numId="20" w16cid:durableId="1795293556">
    <w:abstractNumId w:val="1"/>
  </w:num>
  <w:num w:numId="21" w16cid:durableId="1237284433">
    <w:abstractNumId w:val="37"/>
  </w:num>
  <w:num w:numId="22" w16cid:durableId="1685285956">
    <w:abstractNumId w:val="35"/>
  </w:num>
  <w:num w:numId="23" w16cid:durableId="1922913184">
    <w:abstractNumId w:val="19"/>
  </w:num>
  <w:num w:numId="24" w16cid:durableId="593051742">
    <w:abstractNumId w:val="13"/>
  </w:num>
  <w:num w:numId="25" w16cid:durableId="10499012">
    <w:abstractNumId w:val="48"/>
  </w:num>
  <w:num w:numId="26" w16cid:durableId="1644582433">
    <w:abstractNumId w:val="44"/>
  </w:num>
  <w:num w:numId="27" w16cid:durableId="1185249338">
    <w:abstractNumId w:val="29"/>
  </w:num>
  <w:num w:numId="28" w16cid:durableId="2063747043">
    <w:abstractNumId w:val="21"/>
  </w:num>
  <w:num w:numId="29" w16cid:durableId="1660498478">
    <w:abstractNumId w:val="40"/>
  </w:num>
  <w:num w:numId="30" w16cid:durableId="851918176">
    <w:abstractNumId w:val="23"/>
  </w:num>
  <w:num w:numId="31" w16cid:durableId="1216160352">
    <w:abstractNumId w:val="9"/>
  </w:num>
  <w:num w:numId="32" w16cid:durableId="1684933329">
    <w:abstractNumId w:val="28"/>
  </w:num>
  <w:num w:numId="33" w16cid:durableId="854079562">
    <w:abstractNumId w:val="24"/>
  </w:num>
  <w:num w:numId="34" w16cid:durableId="76289636">
    <w:abstractNumId w:val="34"/>
  </w:num>
  <w:num w:numId="35" w16cid:durableId="17734292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3931245">
    <w:abstractNumId w:val="60"/>
  </w:num>
  <w:num w:numId="37" w16cid:durableId="1917471852">
    <w:abstractNumId w:val="6"/>
  </w:num>
  <w:num w:numId="38" w16cid:durableId="1333029318">
    <w:abstractNumId w:val="17"/>
  </w:num>
  <w:num w:numId="39" w16cid:durableId="1063482738">
    <w:abstractNumId w:val="49"/>
  </w:num>
  <w:num w:numId="40" w16cid:durableId="1634099000">
    <w:abstractNumId w:val="26"/>
  </w:num>
  <w:num w:numId="41" w16cid:durableId="10924318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5106687">
    <w:abstractNumId w:val="58"/>
  </w:num>
  <w:num w:numId="43" w16cid:durableId="888954654">
    <w:abstractNumId w:val="50"/>
  </w:num>
  <w:num w:numId="44" w16cid:durableId="1614168485">
    <w:abstractNumId w:val="39"/>
  </w:num>
  <w:num w:numId="45" w16cid:durableId="673918918">
    <w:abstractNumId w:val="2"/>
  </w:num>
  <w:num w:numId="46" w16cid:durableId="121536296">
    <w:abstractNumId w:val="55"/>
  </w:num>
  <w:num w:numId="47" w16cid:durableId="1998805928">
    <w:abstractNumId w:val="4"/>
  </w:num>
  <w:num w:numId="48" w16cid:durableId="755631115">
    <w:abstractNumId w:val="36"/>
  </w:num>
  <w:num w:numId="49" w16cid:durableId="1808276528">
    <w:abstractNumId w:val="51"/>
  </w:num>
  <w:num w:numId="50" w16cid:durableId="1743916088">
    <w:abstractNumId w:val="62"/>
  </w:num>
  <w:num w:numId="51" w16cid:durableId="1660887506">
    <w:abstractNumId w:val="18"/>
  </w:num>
  <w:num w:numId="52" w16cid:durableId="1124735822">
    <w:abstractNumId w:val="7"/>
  </w:num>
  <w:num w:numId="53" w16cid:durableId="1235820266">
    <w:abstractNumId w:val="42"/>
  </w:num>
  <w:num w:numId="54" w16cid:durableId="819152730">
    <w:abstractNumId w:val="11"/>
  </w:num>
  <w:num w:numId="55" w16cid:durableId="1312325292">
    <w:abstractNumId w:val="5"/>
  </w:num>
  <w:num w:numId="56" w16cid:durableId="1342317399">
    <w:abstractNumId w:val="25"/>
  </w:num>
  <w:num w:numId="57" w16cid:durableId="1926300594">
    <w:abstractNumId w:val="32"/>
  </w:num>
  <w:num w:numId="58" w16cid:durableId="246690861">
    <w:abstractNumId w:val="31"/>
  </w:num>
  <w:num w:numId="59" w16cid:durableId="311250294">
    <w:abstractNumId w:val="8"/>
  </w:num>
  <w:num w:numId="60" w16cid:durableId="1573933439">
    <w:abstractNumId w:val="38"/>
  </w:num>
  <w:num w:numId="61" w16cid:durableId="1218662601">
    <w:abstractNumId w:val="56"/>
  </w:num>
  <w:num w:numId="62" w16cid:durableId="1027873605">
    <w:abstractNumId w:val="43"/>
  </w:num>
  <w:num w:numId="63" w16cid:durableId="1911883963">
    <w:abstractNumId w:val="59"/>
  </w:num>
  <w:num w:numId="64" w16cid:durableId="228924786">
    <w:abstractNumId w:val="46"/>
  </w:num>
  <w:num w:numId="65" w16cid:durableId="332296142">
    <w:abstractNumId w:val="5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6DF7863-0125-443F-9F45-75D3535696D6}"/>
  </w:docVars>
  <w:rsids>
    <w:rsidRoot w:val="00C570BC"/>
    <w:rsid w:val="00000383"/>
    <w:rsid w:val="000053F5"/>
    <w:rsid w:val="00011A06"/>
    <w:rsid w:val="00013614"/>
    <w:rsid w:val="000146EE"/>
    <w:rsid w:val="00014F21"/>
    <w:rsid w:val="000150EA"/>
    <w:rsid w:val="00016C34"/>
    <w:rsid w:val="000214CB"/>
    <w:rsid w:val="000220F7"/>
    <w:rsid w:val="00022598"/>
    <w:rsid w:val="0002453A"/>
    <w:rsid w:val="00026F9A"/>
    <w:rsid w:val="00032938"/>
    <w:rsid w:val="00034666"/>
    <w:rsid w:val="00034934"/>
    <w:rsid w:val="00034C36"/>
    <w:rsid w:val="00036271"/>
    <w:rsid w:val="0003662D"/>
    <w:rsid w:val="00036E37"/>
    <w:rsid w:val="0004263E"/>
    <w:rsid w:val="000451D3"/>
    <w:rsid w:val="000473C9"/>
    <w:rsid w:val="00056CBD"/>
    <w:rsid w:val="00057634"/>
    <w:rsid w:val="00061B5C"/>
    <w:rsid w:val="00070366"/>
    <w:rsid w:val="000725C9"/>
    <w:rsid w:val="000746E5"/>
    <w:rsid w:val="00076BE9"/>
    <w:rsid w:val="000775DB"/>
    <w:rsid w:val="00077D00"/>
    <w:rsid w:val="000865A2"/>
    <w:rsid w:val="00086FDF"/>
    <w:rsid w:val="0009003B"/>
    <w:rsid w:val="000918B6"/>
    <w:rsid w:val="000A21E4"/>
    <w:rsid w:val="000A72D8"/>
    <w:rsid w:val="000A7361"/>
    <w:rsid w:val="000B0222"/>
    <w:rsid w:val="000B0E85"/>
    <w:rsid w:val="000B2580"/>
    <w:rsid w:val="000B4B3D"/>
    <w:rsid w:val="000B5A32"/>
    <w:rsid w:val="000B5CB4"/>
    <w:rsid w:val="000C0538"/>
    <w:rsid w:val="000C21B2"/>
    <w:rsid w:val="000D26C2"/>
    <w:rsid w:val="000D4CE1"/>
    <w:rsid w:val="000D6F34"/>
    <w:rsid w:val="000E1076"/>
    <w:rsid w:val="000E598F"/>
    <w:rsid w:val="000F30EA"/>
    <w:rsid w:val="000F3394"/>
    <w:rsid w:val="000F55D7"/>
    <w:rsid w:val="0010359E"/>
    <w:rsid w:val="0010502A"/>
    <w:rsid w:val="00111ED3"/>
    <w:rsid w:val="00112DE5"/>
    <w:rsid w:val="00115311"/>
    <w:rsid w:val="00115F93"/>
    <w:rsid w:val="0012143A"/>
    <w:rsid w:val="00124984"/>
    <w:rsid w:val="00126F62"/>
    <w:rsid w:val="00132AD6"/>
    <w:rsid w:val="00135753"/>
    <w:rsid w:val="00137AF2"/>
    <w:rsid w:val="00140D43"/>
    <w:rsid w:val="00141528"/>
    <w:rsid w:val="00142F5D"/>
    <w:rsid w:val="001454BA"/>
    <w:rsid w:val="00145749"/>
    <w:rsid w:val="00147499"/>
    <w:rsid w:val="00147EAB"/>
    <w:rsid w:val="00150D5F"/>
    <w:rsid w:val="00156933"/>
    <w:rsid w:val="001664DD"/>
    <w:rsid w:val="001669DF"/>
    <w:rsid w:val="0016713B"/>
    <w:rsid w:val="00173306"/>
    <w:rsid w:val="00174554"/>
    <w:rsid w:val="0017734C"/>
    <w:rsid w:val="001913A7"/>
    <w:rsid w:val="00191FEF"/>
    <w:rsid w:val="00192246"/>
    <w:rsid w:val="00196EEE"/>
    <w:rsid w:val="00197513"/>
    <w:rsid w:val="001A5CBA"/>
    <w:rsid w:val="001A619C"/>
    <w:rsid w:val="001B3B0E"/>
    <w:rsid w:val="001B68FD"/>
    <w:rsid w:val="001B7F66"/>
    <w:rsid w:val="001C1747"/>
    <w:rsid w:val="001C2C37"/>
    <w:rsid w:val="001D2E31"/>
    <w:rsid w:val="001D719D"/>
    <w:rsid w:val="001D786A"/>
    <w:rsid w:val="001E14EC"/>
    <w:rsid w:val="001E19BB"/>
    <w:rsid w:val="001E2D02"/>
    <w:rsid w:val="001F1B06"/>
    <w:rsid w:val="001F5E05"/>
    <w:rsid w:val="001F6D00"/>
    <w:rsid w:val="002208E4"/>
    <w:rsid w:val="00226C60"/>
    <w:rsid w:val="00227C38"/>
    <w:rsid w:val="00237BA2"/>
    <w:rsid w:val="0024158D"/>
    <w:rsid w:val="002455C8"/>
    <w:rsid w:val="0024620F"/>
    <w:rsid w:val="00250280"/>
    <w:rsid w:val="00256A99"/>
    <w:rsid w:val="00257B6D"/>
    <w:rsid w:val="00260657"/>
    <w:rsid w:val="00271D3A"/>
    <w:rsid w:val="002774ED"/>
    <w:rsid w:val="00282F46"/>
    <w:rsid w:val="00284BAB"/>
    <w:rsid w:val="00286F01"/>
    <w:rsid w:val="0029306B"/>
    <w:rsid w:val="00293E37"/>
    <w:rsid w:val="002956B0"/>
    <w:rsid w:val="00297757"/>
    <w:rsid w:val="002A0248"/>
    <w:rsid w:val="002B6024"/>
    <w:rsid w:val="002C0C06"/>
    <w:rsid w:val="002C2CA2"/>
    <w:rsid w:val="002C3D0A"/>
    <w:rsid w:val="002C563C"/>
    <w:rsid w:val="002C62C8"/>
    <w:rsid w:val="002C6DA8"/>
    <w:rsid w:val="002C7A4A"/>
    <w:rsid w:val="002E195E"/>
    <w:rsid w:val="002E5F70"/>
    <w:rsid w:val="002E60F7"/>
    <w:rsid w:val="002F715A"/>
    <w:rsid w:val="00301A84"/>
    <w:rsid w:val="00304506"/>
    <w:rsid w:val="00310B6F"/>
    <w:rsid w:val="00315EA6"/>
    <w:rsid w:val="003208E9"/>
    <w:rsid w:val="003219AC"/>
    <w:rsid w:val="00324AF7"/>
    <w:rsid w:val="00326F29"/>
    <w:rsid w:val="00330F1B"/>
    <w:rsid w:val="00331392"/>
    <w:rsid w:val="00334426"/>
    <w:rsid w:val="0033503B"/>
    <w:rsid w:val="00336809"/>
    <w:rsid w:val="003378E9"/>
    <w:rsid w:val="003420E3"/>
    <w:rsid w:val="0035231E"/>
    <w:rsid w:val="00356422"/>
    <w:rsid w:val="00356423"/>
    <w:rsid w:val="0036716F"/>
    <w:rsid w:val="00370330"/>
    <w:rsid w:val="003718C4"/>
    <w:rsid w:val="00373076"/>
    <w:rsid w:val="0037512F"/>
    <w:rsid w:val="00377E06"/>
    <w:rsid w:val="0038200A"/>
    <w:rsid w:val="00391A43"/>
    <w:rsid w:val="00392142"/>
    <w:rsid w:val="0039302D"/>
    <w:rsid w:val="00393714"/>
    <w:rsid w:val="00393FFE"/>
    <w:rsid w:val="00394124"/>
    <w:rsid w:val="00396E36"/>
    <w:rsid w:val="003A11B8"/>
    <w:rsid w:val="003A29FC"/>
    <w:rsid w:val="003A336B"/>
    <w:rsid w:val="003A3FE9"/>
    <w:rsid w:val="003B10BF"/>
    <w:rsid w:val="003B2111"/>
    <w:rsid w:val="003B3DE5"/>
    <w:rsid w:val="003B4611"/>
    <w:rsid w:val="003B6915"/>
    <w:rsid w:val="003C0810"/>
    <w:rsid w:val="003C4E80"/>
    <w:rsid w:val="003C5674"/>
    <w:rsid w:val="003C66A0"/>
    <w:rsid w:val="003D2467"/>
    <w:rsid w:val="003D3CE5"/>
    <w:rsid w:val="003D7646"/>
    <w:rsid w:val="003F0D13"/>
    <w:rsid w:val="003F2FC6"/>
    <w:rsid w:val="003F5F5B"/>
    <w:rsid w:val="00403645"/>
    <w:rsid w:val="00417CE4"/>
    <w:rsid w:val="00420A23"/>
    <w:rsid w:val="00423362"/>
    <w:rsid w:val="0043350F"/>
    <w:rsid w:val="0043660B"/>
    <w:rsid w:val="00436A08"/>
    <w:rsid w:val="004514DD"/>
    <w:rsid w:val="00451577"/>
    <w:rsid w:val="00452762"/>
    <w:rsid w:val="00456332"/>
    <w:rsid w:val="00463338"/>
    <w:rsid w:val="004635F9"/>
    <w:rsid w:val="004643C5"/>
    <w:rsid w:val="00467635"/>
    <w:rsid w:val="0046784F"/>
    <w:rsid w:val="004779AC"/>
    <w:rsid w:val="0048470E"/>
    <w:rsid w:val="00485E05"/>
    <w:rsid w:val="0049339D"/>
    <w:rsid w:val="00494595"/>
    <w:rsid w:val="004955A8"/>
    <w:rsid w:val="004971DE"/>
    <w:rsid w:val="004A3249"/>
    <w:rsid w:val="004A3325"/>
    <w:rsid w:val="004A4A4B"/>
    <w:rsid w:val="004B12C4"/>
    <w:rsid w:val="004B337C"/>
    <w:rsid w:val="004B3D3E"/>
    <w:rsid w:val="004B4E12"/>
    <w:rsid w:val="004B54A4"/>
    <w:rsid w:val="004C0FC8"/>
    <w:rsid w:val="004C1622"/>
    <w:rsid w:val="004C5F4E"/>
    <w:rsid w:val="004C741E"/>
    <w:rsid w:val="004C7CED"/>
    <w:rsid w:val="004D169F"/>
    <w:rsid w:val="004D37D9"/>
    <w:rsid w:val="004D5E31"/>
    <w:rsid w:val="004D657A"/>
    <w:rsid w:val="004D6982"/>
    <w:rsid w:val="004E0669"/>
    <w:rsid w:val="004E1DBA"/>
    <w:rsid w:val="004E3069"/>
    <w:rsid w:val="004E35AF"/>
    <w:rsid w:val="004E4207"/>
    <w:rsid w:val="004E5AA2"/>
    <w:rsid w:val="004F05D4"/>
    <w:rsid w:val="004F4AD9"/>
    <w:rsid w:val="004F5B72"/>
    <w:rsid w:val="004F7E2E"/>
    <w:rsid w:val="0050060C"/>
    <w:rsid w:val="0050153B"/>
    <w:rsid w:val="00502E90"/>
    <w:rsid w:val="00510837"/>
    <w:rsid w:val="00513F34"/>
    <w:rsid w:val="00516870"/>
    <w:rsid w:val="0052432D"/>
    <w:rsid w:val="00527C91"/>
    <w:rsid w:val="005324BA"/>
    <w:rsid w:val="0053395E"/>
    <w:rsid w:val="005347D4"/>
    <w:rsid w:val="00537D46"/>
    <w:rsid w:val="0054282E"/>
    <w:rsid w:val="00544C81"/>
    <w:rsid w:val="00551C5F"/>
    <w:rsid w:val="00560849"/>
    <w:rsid w:val="0056657A"/>
    <w:rsid w:val="00574CD5"/>
    <w:rsid w:val="00576378"/>
    <w:rsid w:val="0058281A"/>
    <w:rsid w:val="005830FC"/>
    <w:rsid w:val="00584A42"/>
    <w:rsid w:val="00585FD6"/>
    <w:rsid w:val="00586356"/>
    <w:rsid w:val="0059020C"/>
    <w:rsid w:val="00591577"/>
    <w:rsid w:val="00597A62"/>
    <w:rsid w:val="005A16F7"/>
    <w:rsid w:val="005A521F"/>
    <w:rsid w:val="005B579E"/>
    <w:rsid w:val="005B7EF7"/>
    <w:rsid w:val="005C4499"/>
    <w:rsid w:val="005D02F6"/>
    <w:rsid w:val="005E6854"/>
    <w:rsid w:val="005E7953"/>
    <w:rsid w:val="005F6518"/>
    <w:rsid w:val="00602A10"/>
    <w:rsid w:val="006059BE"/>
    <w:rsid w:val="00610BFD"/>
    <w:rsid w:val="00623F32"/>
    <w:rsid w:val="006260B3"/>
    <w:rsid w:val="00631BAB"/>
    <w:rsid w:val="0063489C"/>
    <w:rsid w:val="006354A6"/>
    <w:rsid w:val="006411C0"/>
    <w:rsid w:val="006437C4"/>
    <w:rsid w:val="00644C21"/>
    <w:rsid w:val="00644CDA"/>
    <w:rsid w:val="00645159"/>
    <w:rsid w:val="00653BB0"/>
    <w:rsid w:val="0065533C"/>
    <w:rsid w:val="006624FF"/>
    <w:rsid w:val="00664150"/>
    <w:rsid w:val="0067145F"/>
    <w:rsid w:val="0067667B"/>
    <w:rsid w:val="00681DFE"/>
    <w:rsid w:val="00684391"/>
    <w:rsid w:val="00684A7B"/>
    <w:rsid w:val="006879A6"/>
    <w:rsid w:val="00690670"/>
    <w:rsid w:val="00691373"/>
    <w:rsid w:val="006919F8"/>
    <w:rsid w:val="006924FA"/>
    <w:rsid w:val="00695142"/>
    <w:rsid w:val="00696881"/>
    <w:rsid w:val="0069717F"/>
    <w:rsid w:val="006A0551"/>
    <w:rsid w:val="006A0698"/>
    <w:rsid w:val="006A1463"/>
    <w:rsid w:val="006A4A43"/>
    <w:rsid w:val="006A4EBE"/>
    <w:rsid w:val="006A73DA"/>
    <w:rsid w:val="006A7FCF"/>
    <w:rsid w:val="006B0AAD"/>
    <w:rsid w:val="006B25AD"/>
    <w:rsid w:val="006B5114"/>
    <w:rsid w:val="006B5B7B"/>
    <w:rsid w:val="006B6A71"/>
    <w:rsid w:val="006C4F7F"/>
    <w:rsid w:val="006D1343"/>
    <w:rsid w:val="006D2494"/>
    <w:rsid w:val="006D3386"/>
    <w:rsid w:val="006D4389"/>
    <w:rsid w:val="006D71E9"/>
    <w:rsid w:val="006E3FAE"/>
    <w:rsid w:val="006E7225"/>
    <w:rsid w:val="006E72E6"/>
    <w:rsid w:val="006F35A5"/>
    <w:rsid w:val="006F381E"/>
    <w:rsid w:val="00701D44"/>
    <w:rsid w:val="00704FA2"/>
    <w:rsid w:val="007078C2"/>
    <w:rsid w:val="00710C54"/>
    <w:rsid w:val="00711038"/>
    <w:rsid w:val="00713048"/>
    <w:rsid w:val="00722855"/>
    <w:rsid w:val="0072678B"/>
    <w:rsid w:val="007267D5"/>
    <w:rsid w:val="00726CAB"/>
    <w:rsid w:val="00726DDE"/>
    <w:rsid w:val="0073345C"/>
    <w:rsid w:val="007362B9"/>
    <w:rsid w:val="0074139F"/>
    <w:rsid w:val="007414E2"/>
    <w:rsid w:val="007441DE"/>
    <w:rsid w:val="00744751"/>
    <w:rsid w:val="00744FD9"/>
    <w:rsid w:val="00746DFC"/>
    <w:rsid w:val="00751871"/>
    <w:rsid w:val="00751E47"/>
    <w:rsid w:val="007533D2"/>
    <w:rsid w:val="0076110A"/>
    <w:rsid w:val="00762FD6"/>
    <w:rsid w:val="007649AF"/>
    <w:rsid w:val="007701E3"/>
    <w:rsid w:val="00772EEF"/>
    <w:rsid w:val="00775DA1"/>
    <w:rsid w:val="00782817"/>
    <w:rsid w:val="0078313C"/>
    <w:rsid w:val="00784F1C"/>
    <w:rsid w:val="00785123"/>
    <w:rsid w:val="0078564C"/>
    <w:rsid w:val="00785A2D"/>
    <w:rsid w:val="00785F7F"/>
    <w:rsid w:val="007914B5"/>
    <w:rsid w:val="00791617"/>
    <w:rsid w:val="00792FD1"/>
    <w:rsid w:val="00793A2A"/>
    <w:rsid w:val="007A5D1A"/>
    <w:rsid w:val="007B03F6"/>
    <w:rsid w:val="007B0B1C"/>
    <w:rsid w:val="007B1D4A"/>
    <w:rsid w:val="007B630E"/>
    <w:rsid w:val="007C1D23"/>
    <w:rsid w:val="007C30BE"/>
    <w:rsid w:val="007C7E1D"/>
    <w:rsid w:val="007D1895"/>
    <w:rsid w:val="007D1C5B"/>
    <w:rsid w:val="007D3B93"/>
    <w:rsid w:val="007D4D62"/>
    <w:rsid w:val="007E08F7"/>
    <w:rsid w:val="007E438F"/>
    <w:rsid w:val="007E5818"/>
    <w:rsid w:val="007F0ADB"/>
    <w:rsid w:val="008003F0"/>
    <w:rsid w:val="00800BCD"/>
    <w:rsid w:val="0080233A"/>
    <w:rsid w:val="00802485"/>
    <w:rsid w:val="00804AA0"/>
    <w:rsid w:val="00805CD0"/>
    <w:rsid w:val="00807CBC"/>
    <w:rsid w:val="00814CFA"/>
    <w:rsid w:val="00815BE4"/>
    <w:rsid w:val="00822280"/>
    <w:rsid w:val="0082344F"/>
    <w:rsid w:val="00842FC3"/>
    <w:rsid w:val="008443AC"/>
    <w:rsid w:val="00846E1B"/>
    <w:rsid w:val="00850B79"/>
    <w:rsid w:val="0085124A"/>
    <w:rsid w:val="008601C0"/>
    <w:rsid w:val="0086073D"/>
    <w:rsid w:val="00866600"/>
    <w:rsid w:val="008666B0"/>
    <w:rsid w:val="00871C60"/>
    <w:rsid w:val="00871D4D"/>
    <w:rsid w:val="00872752"/>
    <w:rsid w:val="00873340"/>
    <w:rsid w:val="008733E6"/>
    <w:rsid w:val="008751CA"/>
    <w:rsid w:val="008864F0"/>
    <w:rsid w:val="00886C1F"/>
    <w:rsid w:val="0089076A"/>
    <w:rsid w:val="0089495B"/>
    <w:rsid w:val="008962A3"/>
    <w:rsid w:val="008964C7"/>
    <w:rsid w:val="008A4A3E"/>
    <w:rsid w:val="008A6EC3"/>
    <w:rsid w:val="008B18DB"/>
    <w:rsid w:val="008C1E73"/>
    <w:rsid w:val="008C20FA"/>
    <w:rsid w:val="008C69FE"/>
    <w:rsid w:val="008D163C"/>
    <w:rsid w:val="008D17B8"/>
    <w:rsid w:val="008D1DE9"/>
    <w:rsid w:val="008D6E3A"/>
    <w:rsid w:val="008E1ED9"/>
    <w:rsid w:val="008E3F01"/>
    <w:rsid w:val="008E661D"/>
    <w:rsid w:val="008F7353"/>
    <w:rsid w:val="00900F07"/>
    <w:rsid w:val="0090538B"/>
    <w:rsid w:val="0090610C"/>
    <w:rsid w:val="009066A2"/>
    <w:rsid w:val="00907E1D"/>
    <w:rsid w:val="00910F0D"/>
    <w:rsid w:val="00917391"/>
    <w:rsid w:val="00921D22"/>
    <w:rsid w:val="00926958"/>
    <w:rsid w:val="00927B0A"/>
    <w:rsid w:val="00931240"/>
    <w:rsid w:val="00931378"/>
    <w:rsid w:val="0093445B"/>
    <w:rsid w:val="009409CB"/>
    <w:rsid w:val="00940B70"/>
    <w:rsid w:val="00942DA5"/>
    <w:rsid w:val="009457C1"/>
    <w:rsid w:val="009601EB"/>
    <w:rsid w:val="00961233"/>
    <w:rsid w:val="00962EFB"/>
    <w:rsid w:val="00963AA3"/>
    <w:rsid w:val="009641EA"/>
    <w:rsid w:val="009870B1"/>
    <w:rsid w:val="009878C2"/>
    <w:rsid w:val="00992270"/>
    <w:rsid w:val="0099425F"/>
    <w:rsid w:val="009975D7"/>
    <w:rsid w:val="009A06C3"/>
    <w:rsid w:val="009A44A4"/>
    <w:rsid w:val="009B7B72"/>
    <w:rsid w:val="009C154F"/>
    <w:rsid w:val="009C2C5C"/>
    <w:rsid w:val="009C65B3"/>
    <w:rsid w:val="009C6DE3"/>
    <w:rsid w:val="009C7DDA"/>
    <w:rsid w:val="009D0904"/>
    <w:rsid w:val="009D1BF8"/>
    <w:rsid w:val="009D320A"/>
    <w:rsid w:val="009D3925"/>
    <w:rsid w:val="009D4FB4"/>
    <w:rsid w:val="009E02B3"/>
    <w:rsid w:val="009E6497"/>
    <w:rsid w:val="009F1D5D"/>
    <w:rsid w:val="009F21B4"/>
    <w:rsid w:val="00A059C6"/>
    <w:rsid w:val="00A10BA7"/>
    <w:rsid w:val="00A146DE"/>
    <w:rsid w:val="00A15E8C"/>
    <w:rsid w:val="00A160AE"/>
    <w:rsid w:val="00A21AC4"/>
    <w:rsid w:val="00A22C7E"/>
    <w:rsid w:val="00A2393A"/>
    <w:rsid w:val="00A23E63"/>
    <w:rsid w:val="00A2683E"/>
    <w:rsid w:val="00A27BEC"/>
    <w:rsid w:val="00A305BF"/>
    <w:rsid w:val="00A446C3"/>
    <w:rsid w:val="00A45F2E"/>
    <w:rsid w:val="00A47156"/>
    <w:rsid w:val="00A47453"/>
    <w:rsid w:val="00A513AC"/>
    <w:rsid w:val="00A53565"/>
    <w:rsid w:val="00A543ED"/>
    <w:rsid w:val="00A55ED2"/>
    <w:rsid w:val="00A56875"/>
    <w:rsid w:val="00A56F02"/>
    <w:rsid w:val="00A6130B"/>
    <w:rsid w:val="00A67A5A"/>
    <w:rsid w:val="00A707E0"/>
    <w:rsid w:val="00A71C4E"/>
    <w:rsid w:val="00A71E70"/>
    <w:rsid w:val="00A769AC"/>
    <w:rsid w:val="00A77E6C"/>
    <w:rsid w:val="00A8461D"/>
    <w:rsid w:val="00A8601A"/>
    <w:rsid w:val="00A86384"/>
    <w:rsid w:val="00A96468"/>
    <w:rsid w:val="00A971B4"/>
    <w:rsid w:val="00AA4672"/>
    <w:rsid w:val="00AB32B7"/>
    <w:rsid w:val="00AB6DC4"/>
    <w:rsid w:val="00AB78E6"/>
    <w:rsid w:val="00AC2C79"/>
    <w:rsid w:val="00AC3F56"/>
    <w:rsid w:val="00AC6AE6"/>
    <w:rsid w:val="00AD1F6C"/>
    <w:rsid w:val="00AD3733"/>
    <w:rsid w:val="00AD5F45"/>
    <w:rsid w:val="00AD7E84"/>
    <w:rsid w:val="00AE084E"/>
    <w:rsid w:val="00AE5A04"/>
    <w:rsid w:val="00AE5D8C"/>
    <w:rsid w:val="00AE7EC4"/>
    <w:rsid w:val="00AF26D3"/>
    <w:rsid w:val="00B015BF"/>
    <w:rsid w:val="00B1171A"/>
    <w:rsid w:val="00B11DF3"/>
    <w:rsid w:val="00B15862"/>
    <w:rsid w:val="00B162EE"/>
    <w:rsid w:val="00B1770D"/>
    <w:rsid w:val="00B201A3"/>
    <w:rsid w:val="00B21232"/>
    <w:rsid w:val="00B220D0"/>
    <w:rsid w:val="00B25247"/>
    <w:rsid w:val="00B25589"/>
    <w:rsid w:val="00B32464"/>
    <w:rsid w:val="00B32A7D"/>
    <w:rsid w:val="00B338E2"/>
    <w:rsid w:val="00B350CA"/>
    <w:rsid w:val="00B35A5E"/>
    <w:rsid w:val="00B35DB2"/>
    <w:rsid w:val="00B3693D"/>
    <w:rsid w:val="00B36FC8"/>
    <w:rsid w:val="00B41AAB"/>
    <w:rsid w:val="00B512D2"/>
    <w:rsid w:val="00B51534"/>
    <w:rsid w:val="00B516A7"/>
    <w:rsid w:val="00B5399B"/>
    <w:rsid w:val="00B6091A"/>
    <w:rsid w:val="00B61C92"/>
    <w:rsid w:val="00B64E0B"/>
    <w:rsid w:val="00B724B0"/>
    <w:rsid w:val="00B737F2"/>
    <w:rsid w:val="00B740BE"/>
    <w:rsid w:val="00B7465B"/>
    <w:rsid w:val="00B7503C"/>
    <w:rsid w:val="00B765A5"/>
    <w:rsid w:val="00B83971"/>
    <w:rsid w:val="00B86DE4"/>
    <w:rsid w:val="00B911F1"/>
    <w:rsid w:val="00B91AC0"/>
    <w:rsid w:val="00B93F2C"/>
    <w:rsid w:val="00BA4004"/>
    <w:rsid w:val="00BA71D9"/>
    <w:rsid w:val="00BB1E24"/>
    <w:rsid w:val="00BB2056"/>
    <w:rsid w:val="00BB49A9"/>
    <w:rsid w:val="00BC1BA8"/>
    <w:rsid w:val="00BC3DE2"/>
    <w:rsid w:val="00BD49C5"/>
    <w:rsid w:val="00BE24C1"/>
    <w:rsid w:val="00BE5182"/>
    <w:rsid w:val="00BE7D68"/>
    <w:rsid w:val="00BF1650"/>
    <w:rsid w:val="00BF43CD"/>
    <w:rsid w:val="00C013F2"/>
    <w:rsid w:val="00C0150B"/>
    <w:rsid w:val="00C02A1E"/>
    <w:rsid w:val="00C12507"/>
    <w:rsid w:val="00C15B88"/>
    <w:rsid w:val="00C232D6"/>
    <w:rsid w:val="00C3023D"/>
    <w:rsid w:val="00C308A4"/>
    <w:rsid w:val="00C3105E"/>
    <w:rsid w:val="00C34703"/>
    <w:rsid w:val="00C36518"/>
    <w:rsid w:val="00C40B18"/>
    <w:rsid w:val="00C568F1"/>
    <w:rsid w:val="00C570BC"/>
    <w:rsid w:val="00C577C9"/>
    <w:rsid w:val="00C65D6A"/>
    <w:rsid w:val="00C7228E"/>
    <w:rsid w:val="00C761CE"/>
    <w:rsid w:val="00C8749B"/>
    <w:rsid w:val="00C911DD"/>
    <w:rsid w:val="00C928D9"/>
    <w:rsid w:val="00C9594E"/>
    <w:rsid w:val="00C97A40"/>
    <w:rsid w:val="00C97D44"/>
    <w:rsid w:val="00CA26F4"/>
    <w:rsid w:val="00CA3EF9"/>
    <w:rsid w:val="00CA4FE8"/>
    <w:rsid w:val="00CA518E"/>
    <w:rsid w:val="00CA5613"/>
    <w:rsid w:val="00CA5CF6"/>
    <w:rsid w:val="00CA7301"/>
    <w:rsid w:val="00CA77E6"/>
    <w:rsid w:val="00CB1813"/>
    <w:rsid w:val="00CB520B"/>
    <w:rsid w:val="00CB667D"/>
    <w:rsid w:val="00CC165B"/>
    <w:rsid w:val="00CC3C7E"/>
    <w:rsid w:val="00CD1E67"/>
    <w:rsid w:val="00CE424C"/>
    <w:rsid w:val="00CE6551"/>
    <w:rsid w:val="00CE69D4"/>
    <w:rsid w:val="00CF1C03"/>
    <w:rsid w:val="00CF4D3B"/>
    <w:rsid w:val="00D02D8F"/>
    <w:rsid w:val="00D0373E"/>
    <w:rsid w:val="00D05570"/>
    <w:rsid w:val="00D133D6"/>
    <w:rsid w:val="00D13E19"/>
    <w:rsid w:val="00D16193"/>
    <w:rsid w:val="00D25EE7"/>
    <w:rsid w:val="00D302E7"/>
    <w:rsid w:val="00D309E7"/>
    <w:rsid w:val="00D32728"/>
    <w:rsid w:val="00D35918"/>
    <w:rsid w:val="00D377F5"/>
    <w:rsid w:val="00D37B3F"/>
    <w:rsid w:val="00D40F4A"/>
    <w:rsid w:val="00D447C3"/>
    <w:rsid w:val="00D45061"/>
    <w:rsid w:val="00D51C82"/>
    <w:rsid w:val="00D53B05"/>
    <w:rsid w:val="00D57263"/>
    <w:rsid w:val="00D61682"/>
    <w:rsid w:val="00D623F2"/>
    <w:rsid w:val="00D62D8E"/>
    <w:rsid w:val="00D65ADE"/>
    <w:rsid w:val="00D6739D"/>
    <w:rsid w:val="00D74189"/>
    <w:rsid w:val="00D7469F"/>
    <w:rsid w:val="00D76129"/>
    <w:rsid w:val="00D77400"/>
    <w:rsid w:val="00D801AF"/>
    <w:rsid w:val="00D82CD9"/>
    <w:rsid w:val="00D95EF1"/>
    <w:rsid w:val="00D97BAC"/>
    <w:rsid w:val="00DA412C"/>
    <w:rsid w:val="00DA6F73"/>
    <w:rsid w:val="00DA79EB"/>
    <w:rsid w:val="00DB39B9"/>
    <w:rsid w:val="00DB5235"/>
    <w:rsid w:val="00DB5DFD"/>
    <w:rsid w:val="00DB5ECB"/>
    <w:rsid w:val="00DC0399"/>
    <w:rsid w:val="00DC6389"/>
    <w:rsid w:val="00DC7096"/>
    <w:rsid w:val="00DD7BE9"/>
    <w:rsid w:val="00DE132D"/>
    <w:rsid w:val="00DE2C03"/>
    <w:rsid w:val="00DE7563"/>
    <w:rsid w:val="00DF35A9"/>
    <w:rsid w:val="00DF3C3B"/>
    <w:rsid w:val="00DF66D3"/>
    <w:rsid w:val="00E04A3E"/>
    <w:rsid w:val="00E04B68"/>
    <w:rsid w:val="00E061AF"/>
    <w:rsid w:val="00E14C9C"/>
    <w:rsid w:val="00E14D44"/>
    <w:rsid w:val="00E15116"/>
    <w:rsid w:val="00E15DD6"/>
    <w:rsid w:val="00E17C1F"/>
    <w:rsid w:val="00E20289"/>
    <w:rsid w:val="00E21D0F"/>
    <w:rsid w:val="00E23359"/>
    <w:rsid w:val="00E258A5"/>
    <w:rsid w:val="00E32496"/>
    <w:rsid w:val="00E37CC2"/>
    <w:rsid w:val="00E37DDF"/>
    <w:rsid w:val="00E4232B"/>
    <w:rsid w:val="00E42800"/>
    <w:rsid w:val="00E43263"/>
    <w:rsid w:val="00E45159"/>
    <w:rsid w:val="00E51BB7"/>
    <w:rsid w:val="00E52C92"/>
    <w:rsid w:val="00E57D04"/>
    <w:rsid w:val="00E60D53"/>
    <w:rsid w:val="00E70821"/>
    <w:rsid w:val="00E7342A"/>
    <w:rsid w:val="00E75137"/>
    <w:rsid w:val="00E828EE"/>
    <w:rsid w:val="00E84952"/>
    <w:rsid w:val="00E9031E"/>
    <w:rsid w:val="00E9460B"/>
    <w:rsid w:val="00E946F1"/>
    <w:rsid w:val="00E94B27"/>
    <w:rsid w:val="00EA5B70"/>
    <w:rsid w:val="00EA679B"/>
    <w:rsid w:val="00EB48AE"/>
    <w:rsid w:val="00EB5F26"/>
    <w:rsid w:val="00EB72A7"/>
    <w:rsid w:val="00EB7F91"/>
    <w:rsid w:val="00EC55FB"/>
    <w:rsid w:val="00EC59A3"/>
    <w:rsid w:val="00ED0FA7"/>
    <w:rsid w:val="00ED14F1"/>
    <w:rsid w:val="00ED1964"/>
    <w:rsid w:val="00ED2A62"/>
    <w:rsid w:val="00ED576F"/>
    <w:rsid w:val="00EE2BA0"/>
    <w:rsid w:val="00EE37D1"/>
    <w:rsid w:val="00EE3EB1"/>
    <w:rsid w:val="00EE57B1"/>
    <w:rsid w:val="00EF04AD"/>
    <w:rsid w:val="00EF655B"/>
    <w:rsid w:val="00EF7D8D"/>
    <w:rsid w:val="00F0478D"/>
    <w:rsid w:val="00F11469"/>
    <w:rsid w:val="00F16A82"/>
    <w:rsid w:val="00F23E9C"/>
    <w:rsid w:val="00F32FD4"/>
    <w:rsid w:val="00F33230"/>
    <w:rsid w:val="00F33BDC"/>
    <w:rsid w:val="00F371E3"/>
    <w:rsid w:val="00F40592"/>
    <w:rsid w:val="00F44FD9"/>
    <w:rsid w:val="00F4665C"/>
    <w:rsid w:val="00F46E26"/>
    <w:rsid w:val="00F512F6"/>
    <w:rsid w:val="00F63013"/>
    <w:rsid w:val="00F63728"/>
    <w:rsid w:val="00F7707E"/>
    <w:rsid w:val="00F84643"/>
    <w:rsid w:val="00F865C3"/>
    <w:rsid w:val="00F92EFE"/>
    <w:rsid w:val="00F9477A"/>
    <w:rsid w:val="00F95AA1"/>
    <w:rsid w:val="00FA1EAF"/>
    <w:rsid w:val="00FA2668"/>
    <w:rsid w:val="00FC1373"/>
    <w:rsid w:val="00FD2DBF"/>
    <w:rsid w:val="00FD7B3D"/>
    <w:rsid w:val="00FE4DFF"/>
    <w:rsid w:val="00FF35BB"/>
    <w:rsid w:val="00FF5A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F9384"/>
  <w15:chartTrackingRefBased/>
  <w15:docId w15:val="{70437367-804F-48D6-ACD9-65F5AB15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kern w:val="2"/>
        <w:sz w:val="24"/>
        <w:szCs w:val="24"/>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7D8D"/>
    <w:rPr>
      <w:color w:val="000000" w:themeColor="text1"/>
    </w:rPr>
  </w:style>
  <w:style w:type="paragraph" w:styleId="Nagwek1">
    <w:name w:val="heading 1"/>
    <w:basedOn w:val="Normalny"/>
    <w:next w:val="Normalny"/>
    <w:link w:val="Nagwek1Znak"/>
    <w:uiPriority w:val="9"/>
    <w:qFormat/>
    <w:rsid w:val="00B64E0B"/>
    <w:pPr>
      <w:keepNext/>
      <w:keepLines/>
      <w:numPr>
        <w:numId w:val="60"/>
      </w:numPr>
      <w:spacing w:after="360" w:line="288" w:lineRule="auto"/>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2774ED"/>
    <w:pPr>
      <w:keepNext/>
      <w:keepLines/>
      <w:spacing w:before="160" w:after="80" w:line="288" w:lineRule="auto"/>
      <w:outlineLvl w:val="1"/>
    </w:pPr>
    <w:rPr>
      <w:rFonts w:asciiTheme="majorHAnsi" w:eastAsia="Aptos" w:hAnsiTheme="majorHAnsi" w:cstheme="majorBidi"/>
      <w:b/>
      <w:color w:val="0F4761" w:themeColor="accent1" w:themeShade="BF"/>
      <w:spacing w:val="22"/>
      <w:sz w:val="36"/>
      <w:szCs w:val="32"/>
    </w:rPr>
  </w:style>
  <w:style w:type="paragraph" w:styleId="Nagwek3">
    <w:name w:val="heading 3"/>
    <w:basedOn w:val="Normalny"/>
    <w:next w:val="Normalny"/>
    <w:link w:val="Nagwek3Znak"/>
    <w:uiPriority w:val="9"/>
    <w:unhideWhenUsed/>
    <w:qFormat/>
    <w:rsid w:val="002F715A"/>
    <w:pPr>
      <w:keepNext/>
      <w:keepLines/>
      <w:spacing w:before="160" w:after="80" w:line="288" w:lineRule="auto"/>
      <w:outlineLvl w:val="2"/>
    </w:pPr>
    <w:rPr>
      <w:rFonts w:eastAsiaTheme="majorEastAsia" w:cstheme="majorBidi"/>
      <w:b/>
      <w:color w:val="215E99" w:themeColor="text2" w:themeTint="BF"/>
      <w:sz w:val="32"/>
      <w:szCs w:val="28"/>
    </w:rPr>
  </w:style>
  <w:style w:type="paragraph" w:styleId="Nagwek4">
    <w:name w:val="heading 4"/>
    <w:basedOn w:val="Normalny"/>
    <w:next w:val="Normalny"/>
    <w:link w:val="Nagwek4Znak"/>
    <w:uiPriority w:val="9"/>
    <w:unhideWhenUsed/>
    <w:qFormat/>
    <w:rsid w:val="008D17B8"/>
    <w:pPr>
      <w:keepNext/>
      <w:keepLines/>
      <w:spacing w:before="120" w:after="120" w:line="288" w:lineRule="auto"/>
      <w:outlineLvl w:val="3"/>
    </w:pPr>
    <w:rPr>
      <w:rFonts w:eastAsiaTheme="majorEastAsia" w:cstheme="majorBidi"/>
      <w:b/>
      <w:iCs/>
      <w:sz w:val="28"/>
    </w:rPr>
  </w:style>
  <w:style w:type="paragraph" w:styleId="Nagwek5">
    <w:name w:val="heading 5"/>
    <w:basedOn w:val="Normalny"/>
    <w:next w:val="Normalny"/>
    <w:link w:val="Nagwek5Znak"/>
    <w:uiPriority w:val="9"/>
    <w:semiHidden/>
    <w:unhideWhenUsed/>
    <w:qFormat/>
    <w:rsid w:val="00C570B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570B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70B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70B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70B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64E0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2774ED"/>
    <w:rPr>
      <w:rFonts w:asciiTheme="majorHAnsi" w:eastAsia="Aptos" w:hAnsiTheme="majorHAnsi" w:cstheme="majorBidi"/>
      <w:b/>
      <w:color w:val="0F4761" w:themeColor="accent1" w:themeShade="BF"/>
      <w:spacing w:val="22"/>
      <w:sz w:val="36"/>
      <w:szCs w:val="32"/>
    </w:rPr>
  </w:style>
  <w:style w:type="character" w:customStyle="1" w:styleId="Nagwek3Znak">
    <w:name w:val="Nagłówek 3 Znak"/>
    <w:basedOn w:val="Domylnaczcionkaakapitu"/>
    <w:link w:val="Nagwek3"/>
    <w:uiPriority w:val="9"/>
    <w:rsid w:val="002F715A"/>
    <w:rPr>
      <w:rFonts w:eastAsiaTheme="majorEastAsia" w:cstheme="majorBidi"/>
      <w:b/>
      <w:color w:val="215E99" w:themeColor="text2" w:themeTint="BF"/>
      <w:sz w:val="32"/>
      <w:szCs w:val="28"/>
    </w:rPr>
  </w:style>
  <w:style w:type="character" w:customStyle="1" w:styleId="Nagwek4Znak">
    <w:name w:val="Nagłówek 4 Znak"/>
    <w:basedOn w:val="Domylnaczcionkaakapitu"/>
    <w:link w:val="Nagwek4"/>
    <w:uiPriority w:val="9"/>
    <w:rsid w:val="008D17B8"/>
    <w:rPr>
      <w:rFonts w:eastAsiaTheme="majorEastAsia" w:cstheme="majorBidi"/>
      <w:b/>
      <w:iCs/>
      <w:color w:val="000000" w:themeColor="text1"/>
      <w:sz w:val="28"/>
    </w:rPr>
  </w:style>
  <w:style w:type="character" w:customStyle="1" w:styleId="Nagwek5Znak">
    <w:name w:val="Nagłówek 5 Znak"/>
    <w:basedOn w:val="Domylnaczcionkaakapitu"/>
    <w:link w:val="Nagwek5"/>
    <w:uiPriority w:val="9"/>
    <w:semiHidden/>
    <w:rsid w:val="00C570B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70B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70B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70B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70BC"/>
    <w:rPr>
      <w:rFonts w:eastAsiaTheme="majorEastAsia" w:cstheme="majorBidi"/>
      <w:color w:val="272727" w:themeColor="text1" w:themeTint="D8"/>
    </w:rPr>
  </w:style>
  <w:style w:type="paragraph" w:styleId="Tytu">
    <w:name w:val="Title"/>
    <w:basedOn w:val="Normalny"/>
    <w:next w:val="Normalny"/>
    <w:link w:val="TytuZnak"/>
    <w:uiPriority w:val="10"/>
    <w:qFormat/>
    <w:rsid w:val="00C57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70B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71C60"/>
    <w:pPr>
      <w:numPr>
        <w:ilvl w:val="1"/>
      </w:numPr>
    </w:pPr>
    <w:rPr>
      <w:rFonts w:eastAsiaTheme="majorEastAsia" w:cstheme="majorBidi"/>
      <w:b/>
      <w:spacing w:val="15"/>
      <w:sz w:val="28"/>
      <w:szCs w:val="28"/>
    </w:rPr>
  </w:style>
  <w:style w:type="character" w:customStyle="1" w:styleId="PodtytuZnak">
    <w:name w:val="Podtytuł Znak"/>
    <w:basedOn w:val="Domylnaczcionkaakapitu"/>
    <w:link w:val="Podtytu"/>
    <w:uiPriority w:val="11"/>
    <w:rsid w:val="00871C60"/>
    <w:rPr>
      <w:rFonts w:eastAsiaTheme="majorEastAsia" w:cstheme="majorBidi"/>
      <w:b/>
      <w:color w:val="000000" w:themeColor="text1"/>
      <w:spacing w:val="15"/>
      <w:sz w:val="28"/>
      <w:szCs w:val="28"/>
    </w:rPr>
  </w:style>
  <w:style w:type="paragraph" w:styleId="Cytat">
    <w:name w:val="Quote"/>
    <w:basedOn w:val="Normalny"/>
    <w:next w:val="Normalny"/>
    <w:link w:val="CytatZnak"/>
    <w:uiPriority w:val="29"/>
    <w:qFormat/>
    <w:rsid w:val="00C570BC"/>
    <w:pPr>
      <w:spacing w:before="160"/>
      <w:jc w:val="center"/>
    </w:pPr>
    <w:rPr>
      <w:i/>
      <w:iCs/>
      <w:color w:val="404040" w:themeColor="text1" w:themeTint="BF"/>
    </w:rPr>
  </w:style>
  <w:style w:type="character" w:customStyle="1" w:styleId="CytatZnak">
    <w:name w:val="Cytat Znak"/>
    <w:basedOn w:val="Domylnaczcionkaakapitu"/>
    <w:link w:val="Cytat"/>
    <w:uiPriority w:val="29"/>
    <w:rsid w:val="00C570BC"/>
    <w:rPr>
      <w:i/>
      <w:iCs/>
      <w:color w:val="404040" w:themeColor="text1" w:themeTint="BF"/>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
    <w:basedOn w:val="Normalny"/>
    <w:link w:val="AkapitzlistZnak"/>
    <w:uiPriority w:val="34"/>
    <w:qFormat/>
    <w:rsid w:val="00C570BC"/>
    <w:pPr>
      <w:ind w:left="720"/>
      <w:contextualSpacing/>
    </w:pPr>
  </w:style>
  <w:style w:type="character" w:styleId="Wyrnienieintensywne">
    <w:name w:val="Intense Emphasis"/>
    <w:basedOn w:val="Domylnaczcionkaakapitu"/>
    <w:uiPriority w:val="21"/>
    <w:qFormat/>
    <w:rsid w:val="00C570BC"/>
    <w:rPr>
      <w:i/>
      <w:iCs/>
      <w:color w:val="0F4761" w:themeColor="accent1" w:themeShade="BF"/>
    </w:rPr>
  </w:style>
  <w:style w:type="paragraph" w:styleId="Cytatintensywny">
    <w:name w:val="Intense Quote"/>
    <w:basedOn w:val="Normalny"/>
    <w:next w:val="Normalny"/>
    <w:link w:val="CytatintensywnyZnak"/>
    <w:uiPriority w:val="30"/>
    <w:qFormat/>
    <w:rsid w:val="00C57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70BC"/>
    <w:rPr>
      <w:i/>
      <w:iCs/>
      <w:color w:val="0F4761" w:themeColor="accent1" w:themeShade="BF"/>
    </w:rPr>
  </w:style>
  <w:style w:type="character" w:styleId="Odwoanieintensywne">
    <w:name w:val="Intense Reference"/>
    <w:basedOn w:val="Domylnaczcionkaakapitu"/>
    <w:uiPriority w:val="32"/>
    <w:qFormat/>
    <w:rsid w:val="00C570BC"/>
    <w:rPr>
      <w:b/>
      <w:bCs/>
      <w:smallCaps/>
      <w:color w:val="0F4761" w:themeColor="accent1" w:themeShade="BF"/>
      <w:spacing w:val="5"/>
    </w:rPr>
  </w:style>
  <w:style w:type="paragraph" w:styleId="Nagwek">
    <w:name w:val="header"/>
    <w:basedOn w:val="Normalny"/>
    <w:link w:val="NagwekZnak"/>
    <w:uiPriority w:val="99"/>
    <w:unhideWhenUsed/>
    <w:rsid w:val="00F371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71E3"/>
  </w:style>
  <w:style w:type="paragraph" w:styleId="Stopka">
    <w:name w:val="footer"/>
    <w:basedOn w:val="Normalny"/>
    <w:link w:val="StopkaZnak"/>
    <w:uiPriority w:val="99"/>
    <w:unhideWhenUsed/>
    <w:rsid w:val="00F371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71E3"/>
  </w:style>
  <w:style w:type="character" w:styleId="Odwoaniedokomentarza">
    <w:name w:val="annotation reference"/>
    <w:basedOn w:val="Domylnaczcionkaakapitu"/>
    <w:uiPriority w:val="99"/>
    <w:semiHidden/>
    <w:unhideWhenUsed/>
    <w:rsid w:val="00B35DB2"/>
    <w:rPr>
      <w:sz w:val="16"/>
      <w:szCs w:val="16"/>
    </w:rPr>
  </w:style>
  <w:style w:type="paragraph" w:styleId="Tekstkomentarza">
    <w:name w:val="annotation text"/>
    <w:basedOn w:val="Normalny"/>
    <w:link w:val="TekstkomentarzaZnak"/>
    <w:uiPriority w:val="99"/>
    <w:unhideWhenUsed/>
    <w:rsid w:val="00B35DB2"/>
    <w:pPr>
      <w:spacing w:line="240" w:lineRule="auto"/>
    </w:pPr>
    <w:rPr>
      <w:sz w:val="20"/>
      <w:szCs w:val="20"/>
    </w:rPr>
  </w:style>
  <w:style w:type="character" w:customStyle="1" w:styleId="TekstkomentarzaZnak">
    <w:name w:val="Tekst komentarza Znak"/>
    <w:basedOn w:val="Domylnaczcionkaakapitu"/>
    <w:link w:val="Tekstkomentarza"/>
    <w:uiPriority w:val="99"/>
    <w:rsid w:val="00B35DB2"/>
    <w:rPr>
      <w:sz w:val="20"/>
      <w:szCs w:val="20"/>
    </w:rPr>
  </w:style>
  <w:style w:type="paragraph" w:styleId="Tematkomentarza">
    <w:name w:val="annotation subject"/>
    <w:basedOn w:val="Tekstkomentarza"/>
    <w:next w:val="Tekstkomentarza"/>
    <w:link w:val="TematkomentarzaZnak"/>
    <w:uiPriority w:val="99"/>
    <w:semiHidden/>
    <w:unhideWhenUsed/>
    <w:rsid w:val="00B35DB2"/>
    <w:rPr>
      <w:b/>
      <w:bCs/>
    </w:rPr>
  </w:style>
  <w:style w:type="character" w:customStyle="1" w:styleId="TematkomentarzaZnak">
    <w:name w:val="Temat komentarza Znak"/>
    <w:basedOn w:val="TekstkomentarzaZnak"/>
    <w:link w:val="Tematkomentarza"/>
    <w:uiPriority w:val="99"/>
    <w:semiHidden/>
    <w:rsid w:val="00B35DB2"/>
    <w:rPr>
      <w:b/>
      <w:bCs/>
      <w:sz w:val="20"/>
      <w:szCs w:val="20"/>
    </w:rPr>
  </w:style>
  <w:style w:type="paragraph" w:styleId="Poprawka">
    <w:name w:val="Revision"/>
    <w:hidden/>
    <w:uiPriority w:val="99"/>
    <w:semiHidden/>
    <w:rsid w:val="00516870"/>
    <w:pPr>
      <w:spacing w:after="0" w:line="240" w:lineRule="auto"/>
    </w:pPr>
  </w:style>
  <w:style w:type="paragraph" w:styleId="Nagwekspisutreci">
    <w:name w:val="TOC Heading"/>
    <w:basedOn w:val="Nagwek1"/>
    <w:next w:val="Normalny"/>
    <w:uiPriority w:val="39"/>
    <w:unhideWhenUsed/>
    <w:qFormat/>
    <w:rsid w:val="000150EA"/>
    <w:pPr>
      <w:spacing w:before="240" w:after="0"/>
      <w:outlineLvl w:val="9"/>
    </w:pPr>
    <w:rPr>
      <w:kern w:val="0"/>
      <w:sz w:val="32"/>
      <w:szCs w:val="32"/>
      <w:lang w:eastAsia="pl-PL"/>
      <w14:ligatures w14:val="none"/>
    </w:rPr>
  </w:style>
  <w:style w:type="paragraph" w:styleId="Spistreci1">
    <w:name w:val="toc 1"/>
    <w:basedOn w:val="Normalny"/>
    <w:next w:val="Normalny"/>
    <w:link w:val="Spistreci1Znak"/>
    <w:autoRedefine/>
    <w:uiPriority w:val="39"/>
    <w:unhideWhenUsed/>
    <w:rsid w:val="0058281A"/>
    <w:pPr>
      <w:tabs>
        <w:tab w:val="left" w:pos="480"/>
        <w:tab w:val="right" w:leader="dot" w:pos="9062"/>
      </w:tabs>
      <w:spacing w:after="100"/>
    </w:pPr>
  </w:style>
  <w:style w:type="character" w:styleId="Hipercze">
    <w:name w:val="Hyperlink"/>
    <w:basedOn w:val="Domylnaczcionkaakapitu"/>
    <w:uiPriority w:val="99"/>
    <w:unhideWhenUsed/>
    <w:rsid w:val="00822280"/>
    <w:rPr>
      <w:color w:val="467886" w:themeColor="hyperlink"/>
      <w:u w:val="single"/>
    </w:rPr>
  </w:style>
  <w:style w:type="paragraph" w:styleId="Tekstpodstawowy">
    <w:name w:val="Body Text"/>
    <w:basedOn w:val="Normalny"/>
    <w:link w:val="TekstpodstawowyZnak"/>
    <w:qFormat/>
    <w:rsid w:val="005D02F6"/>
    <w:pPr>
      <w:spacing w:before="180" w:after="180" w:line="240" w:lineRule="auto"/>
    </w:pPr>
    <w:rPr>
      <w:rFonts w:asciiTheme="minorHAnsi" w:hAnsiTheme="minorHAnsi" w:cstheme="minorBidi"/>
      <w:kern w:val="0"/>
      <w:lang w:val="en-US"/>
      <w14:ligatures w14:val="none"/>
    </w:rPr>
  </w:style>
  <w:style w:type="character" w:customStyle="1" w:styleId="TekstpodstawowyZnak">
    <w:name w:val="Tekst podstawowy Znak"/>
    <w:basedOn w:val="Domylnaczcionkaakapitu"/>
    <w:link w:val="Tekstpodstawowy"/>
    <w:rsid w:val="005D02F6"/>
    <w:rPr>
      <w:rFonts w:asciiTheme="minorHAnsi" w:hAnsiTheme="minorHAnsi" w:cstheme="minorBidi"/>
      <w:kern w:val="0"/>
      <w:lang w:val="en-US"/>
      <w14:ligatures w14:val="none"/>
    </w:rPr>
  </w:style>
  <w:style w:type="paragraph" w:customStyle="1" w:styleId="Compact">
    <w:name w:val="Compact"/>
    <w:basedOn w:val="Tekstpodstawowy"/>
    <w:qFormat/>
    <w:rsid w:val="005D02F6"/>
    <w:pPr>
      <w:spacing w:before="36" w:after="36"/>
    </w:pPr>
  </w:style>
  <w:style w:type="paragraph" w:customStyle="1" w:styleId="FirstParagraph">
    <w:name w:val="First Paragraph"/>
    <w:basedOn w:val="Tekstpodstawowy"/>
    <w:next w:val="Tekstpodstawowy"/>
    <w:qFormat/>
    <w:rsid w:val="005D02F6"/>
  </w:style>
  <w:style w:type="paragraph" w:customStyle="1" w:styleId="Styl1">
    <w:name w:val="Styl1"/>
    <w:basedOn w:val="Nagwek1"/>
    <w:link w:val="Styl1Znak"/>
    <w:autoRedefine/>
    <w:rsid w:val="00B36FC8"/>
    <w:pPr>
      <w:shd w:val="clear" w:color="auto" w:fill="F2F2F2" w:themeFill="background1" w:themeFillShade="F2"/>
      <w:spacing w:before="120" w:after="120"/>
    </w:pPr>
    <w:rPr>
      <w:rFonts w:eastAsia="Aptos"/>
      <w:color w:val="215E99" w:themeColor="text2" w:themeTint="BF"/>
      <w:sz w:val="32"/>
      <w:szCs w:val="36"/>
      <w:lang w:eastAsia="pl-PL"/>
    </w:rPr>
  </w:style>
  <w:style w:type="character" w:customStyle="1" w:styleId="Styl1Znak">
    <w:name w:val="Styl1 Znak"/>
    <w:basedOn w:val="Nagwek1Znak"/>
    <w:link w:val="Styl1"/>
    <w:rsid w:val="00B36FC8"/>
    <w:rPr>
      <w:rFonts w:asciiTheme="majorHAnsi" w:eastAsia="Aptos" w:hAnsiTheme="majorHAnsi" w:cstheme="majorBidi"/>
      <w:color w:val="215E99" w:themeColor="text2" w:themeTint="BF"/>
      <w:sz w:val="32"/>
      <w:szCs w:val="36"/>
      <w:shd w:val="clear" w:color="auto" w:fill="F2F2F2" w:themeFill="background1" w:themeFillShade="F2"/>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fn Znak"/>
    <w:basedOn w:val="Domylnaczcionkaakapitu"/>
    <w:link w:val="Tekstprzypisudolnego"/>
    <w:uiPriority w:val="99"/>
    <w:semiHidden/>
    <w:locked/>
    <w:rsid w:val="00034C36"/>
    <w:rPr>
      <w:sz w:val="20"/>
      <w:szCs w:val="20"/>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Znak Znak Znak Znak,fn,o"/>
    <w:basedOn w:val="Normalny"/>
    <w:link w:val="TekstprzypisudolnegoZnak"/>
    <w:uiPriority w:val="99"/>
    <w:semiHidden/>
    <w:unhideWhenUsed/>
    <w:rsid w:val="00034C36"/>
    <w:pPr>
      <w:spacing w:after="0" w:line="240" w:lineRule="auto"/>
    </w:pPr>
    <w:rPr>
      <w:sz w:val="20"/>
      <w:szCs w:val="20"/>
    </w:rPr>
  </w:style>
  <w:style w:type="character" w:customStyle="1" w:styleId="TekstprzypisudolnegoZnak1">
    <w:name w:val="Tekst przypisu dolnego Znak1"/>
    <w:basedOn w:val="Domylnaczcionkaakapitu"/>
    <w:uiPriority w:val="99"/>
    <w:semiHidden/>
    <w:rsid w:val="00034C36"/>
    <w:rPr>
      <w:sz w:val="20"/>
      <w:szCs w:val="20"/>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basedOn w:val="Domylnaczcionkaakapitu"/>
    <w:link w:val="Akapitzlist"/>
    <w:uiPriority w:val="34"/>
    <w:locked/>
    <w:rsid w:val="00034C36"/>
  </w:style>
  <w:style w:type="character" w:styleId="Odwoanieprzypisudolnego">
    <w:name w:val="footnote reference"/>
    <w:aliases w:val="Footnote Reference Number,Znak Znak1,Odwołanie przypisu,Footnote symbol,Odsy³acz przypisu dolnego 1,Odsy3acz przypisu dolnego 1,Odsyłacz przypisu dolnego 1,EN Footnote Reference,Times 10 Point,Exposant 3 Point,note TESI,stylis"/>
    <w:basedOn w:val="Domylnaczcionkaakapitu"/>
    <w:uiPriority w:val="99"/>
    <w:unhideWhenUsed/>
    <w:qFormat/>
    <w:rsid w:val="00034C36"/>
    <w:rPr>
      <w:vertAlign w:val="superscript"/>
    </w:rPr>
  </w:style>
  <w:style w:type="character" w:customStyle="1" w:styleId="cf01">
    <w:name w:val="cf01"/>
    <w:basedOn w:val="Domylnaczcionkaakapitu"/>
    <w:rsid w:val="00034C36"/>
    <w:rPr>
      <w:rFonts w:ascii="Segoe UI" w:hAnsi="Segoe UI" w:cs="Segoe UI" w:hint="default"/>
      <w:sz w:val="18"/>
      <w:szCs w:val="18"/>
    </w:rPr>
  </w:style>
  <w:style w:type="paragraph" w:styleId="Spistreci3">
    <w:name w:val="toc 3"/>
    <w:basedOn w:val="Normalny"/>
    <w:next w:val="Normalny"/>
    <w:autoRedefine/>
    <w:uiPriority w:val="39"/>
    <w:unhideWhenUsed/>
    <w:rsid w:val="0024620F"/>
    <w:pPr>
      <w:tabs>
        <w:tab w:val="right" w:leader="dot" w:pos="9062"/>
      </w:tabs>
      <w:spacing w:after="100"/>
      <w:ind w:left="993" w:hanging="284"/>
    </w:pPr>
  </w:style>
  <w:style w:type="paragraph" w:styleId="Spistreci2">
    <w:name w:val="toc 2"/>
    <w:basedOn w:val="Normalny"/>
    <w:next w:val="Normalny"/>
    <w:autoRedefine/>
    <w:uiPriority w:val="39"/>
    <w:unhideWhenUsed/>
    <w:rsid w:val="0024620F"/>
    <w:pPr>
      <w:tabs>
        <w:tab w:val="right" w:leader="dot" w:pos="9062"/>
      </w:tabs>
      <w:spacing w:after="100"/>
      <w:ind w:left="426"/>
    </w:pPr>
  </w:style>
  <w:style w:type="character" w:styleId="Pogrubienie">
    <w:name w:val="Strong"/>
    <w:basedOn w:val="Domylnaczcionkaakapitu"/>
    <w:uiPriority w:val="22"/>
    <w:qFormat/>
    <w:rsid w:val="000E1076"/>
    <w:rPr>
      <w:b/>
      <w:bCs/>
    </w:rPr>
  </w:style>
  <w:style w:type="table" w:customStyle="1" w:styleId="Tabelalisty7kolorowaakcent41">
    <w:name w:val="Tabela listy 7 — kolorowa — akcent 41"/>
    <w:basedOn w:val="Standardowy"/>
    <w:next w:val="Tabelalisty7kolorowaakcent4"/>
    <w:uiPriority w:val="52"/>
    <w:rsid w:val="00961233"/>
    <w:pPr>
      <w:spacing w:after="0" w:line="240" w:lineRule="auto"/>
    </w:pPr>
    <w:rPr>
      <w:rFonts w:cs="Times New Roman"/>
      <w:color w:val="0B769F"/>
      <w:sz w:val="22"/>
      <w:szCs w:val="22"/>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0F9ED5"/>
        </w:tcBorders>
        <w:shd w:val="clear" w:color="auto" w:fill="FFFFFF"/>
      </w:tcPr>
    </w:tblStylePr>
    <w:tblStylePr w:type="lastRow">
      <w:rPr>
        <w:rFonts w:ascii="Aptos Display" w:eastAsia="Times New Roman" w:hAnsi="Aptos Display" w:cs="Times New Roman"/>
        <w:i/>
        <w:iCs/>
        <w:sz w:val="26"/>
      </w:rPr>
      <w:tblPr/>
      <w:tcPr>
        <w:tcBorders>
          <w:top w:val="single" w:sz="4" w:space="0" w:color="0F9ED5"/>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0F9ED5"/>
        </w:tcBorders>
        <w:shd w:val="clear" w:color="auto" w:fill="FFFFFF"/>
      </w:tcPr>
    </w:tblStylePr>
    <w:tblStylePr w:type="lastCol">
      <w:rPr>
        <w:rFonts w:ascii="Aptos Display" w:eastAsia="Times New Roman" w:hAnsi="Aptos Display" w:cs="Times New Roman"/>
        <w:i/>
        <w:iCs/>
        <w:sz w:val="26"/>
      </w:rPr>
      <w:tblPr/>
      <w:tcPr>
        <w:tcBorders>
          <w:left w:val="single" w:sz="4" w:space="0" w:color="0F9ED5"/>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961233"/>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ezodstpw">
    <w:name w:val="No Spacing"/>
    <w:link w:val="BezodstpwZnak"/>
    <w:uiPriority w:val="1"/>
    <w:qFormat/>
    <w:rsid w:val="00961233"/>
    <w:pPr>
      <w:spacing w:after="0" w:line="240" w:lineRule="auto"/>
    </w:pPr>
    <w:rPr>
      <w:rFonts w:asciiTheme="minorHAnsi" w:eastAsiaTheme="minorEastAsia" w:hAnsiTheme="minorHAnsi" w:cstheme="minorBidi"/>
      <w:kern w:val="0"/>
      <w:sz w:val="22"/>
      <w:szCs w:val="22"/>
      <w:lang w:eastAsia="pl-PL"/>
      <w14:ligatures w14:val="none"/>
    </w:rPr>
  </w:style>
  <w:style w:type="character" w:customStyle="1" w:styleId="BezodstpwZnak">
    <w:name w:val="Bez odstępów Znak"/>
    <w:basedOn w:val="Domylnaczcionkaakapitu"/>
    <w:link w:val="Bezodstpw"/>
    <w:uiPriority w:val="1"/>
    <w:rsid w:val="00961233"/>
    <w:rPr>
      <w:rFonts w:asciiTheme="minorHAnsi" w:eastAsiaTheme="minorEastAsia" w:hAnsiTheme="minorHAnsi" w:cstheme="minorBidi"/>
      <w:kern w:val="0"/>
      <w:sz w:val="22"/>
      <w:szCs w:val="22"/>
      <w:lang w:eastAsia="pl-PL"/>
      <w14:ligatures w14:val="none"/>
    </w:rPr>
  </w:style>
  <w:style w:type="table" w:customStyle="1" w:styleId="Tabela-Siatka1">
    <w:name w:val="Tabela - Siatka1"/>
    <w:basedOn w:val="Standardowy"/>
    <w:next w:val="Tabela-Siatka"/>
    <w:uiPriority w:val="39"/>
    <w:rsid w:val="00961233"/>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961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2spistreci">
    <w:name w:val="Styl2 spis treści"/>
    <w:basedOn w:val="Spistreci1"/>
    <w:link w:val="Styl2spistreciZnak"/>
    <w:qFormat/>
    <w:rsid w:val="00EB72A7"/>
    <w:pPr>
      <w:spacing w:before="120" w:after="120" w:line="288" w:lineRule="auto"/>
    </w:pPr>
    <w:rPr>
      <w:noProof/>
    </w:rPr>
  </w:style>
  <w:style w:type="character" w:customStyle="1" w:styleId="Spistreci1Znak">
    <w:name w:val="Spis treści 1 Znak"/>
    <w:basedOn w:val="Domylnaczcionkaakapitu"/>
    <w:link w:val="Spistreci1"/>
    <w:uiPriority w:val="39"/>
    <w:rsid w:val="0058281A"/>
  </w:style>
  <w:style w:type="character" w:customStyle="1" w:styleId="Styl2spistreciZnak">
    <w:name w:val="Styl2 spis treści Znak"/>
    <w:basedOn w:val="Spistreci1Znak"/>
    <w:link w:val="Styl2spistreci"/>
    <w:rsid w:val="00EB72A7"/>
    <w:rPr>
      <w:noProof/>
    </w:rPr>
  </w:style>
  <w:style w:type="paragraph" w:customStyle="1" w:styleId="Styl3celoper">
    <w:name w:val="Styl3 cel oper."/>
    <w:basedOn w:val="Nagwek3"/>
    <w:link w:val="Styl3celoperZnak"/>
    <w:rsid w:val="00DE132D"/>
    <w:pPr>
      <w:shd w:val="clear" w:color="auto" w:fill="FFFFFF" w:themeFill="background1"/>
      <w:spacing w:before="360" w:after="120"/>
    </w:pPr>
    <w:rPr>
      <w:bCs/>
    </w:rPr>
  </w:style>
  <w:style w:type="character" w:customStyle="1" w:styleId="Styl3celoperZnak">
    <w:name w:val="Styl3 cel oper. Znak"/>
    <w:basedOn w:val="Domylnaczcionkaakapitu"/>
    <w:link w:val="Styl3celoper"/>
    <w:rsid w:val="00DE132D"/>
    <w:rPr>
      <w:rFonts w:eastAsiaTheme="majorEastAsia" w:cstheme="majorBidi"/>
      <w:b/>
      <w:bCs/>
      <w:color w:val="215E99" w:themeColor="text2" w:themeTint="BF"/>
      <w:sz w:val="28"/>
      <w:szCs w:val="28"/>
      <w:shd w:val="clear" w:color="auto" w:fill="FFFFFF" w:themeFill="background1"/>
    </w:rPr>
  </w:style>
  <w:style w:type="paragraph" w:customStyle="1" w:styleId="Styl4celstrateg">
    <w:name w:val="Styl4 cel strateg"/>
    <w:basedOn w:val="Nagwek2"/>
    <w:link w:val="Styl4celstrategZnak"/>
    <w:rsid w:val="00174554"/>
    <w:pPr>
      <w:shd w:val="clear" w:color="auto" w:fill="153D63" w:themeFill="text2" w:themeFillTint="E6"/>
      <w:spacing w:before="120" w:after="120"/>
    </w:pPr>
    <w:rPr>
      <w:rFonts w:asciiTheme="minorHAnsi" w:hAnsiTheme="minorHAnsi"/>
      <w:bCs/>
      <w:color w:val="FFFFFF" w:themeColor="background1"/>
      <w:szCs w:val="28"/>
    </w:rPr>
  </w:style>
  <w:style w:type="character" w:customStyle="1" w:styleId="Styl4celstrategZnak">
    <w:name w:val="Styl4 cel strateg Znak"/>
    <w:basedOn w:val="Domylnaczcionkaakapitu"/>
    <w:link w:val="Styl4celstrateg"/>
    <w:rsid w:val="00174554"/>
    <w:rPr>
      <w:rFonts w:asciiTheme="minorHAnsi" w:eastAsiaTheme="majorEastAsia" w:hAnsiTheme="minorHAnsi" w:cstheme="majorBidi"/>
      <w:b/>
      <w:bCs/>
      <w:color w:val="FFFFFF" w:themeColor="background1"/>
      <w:sz w:val="28"/>
      <w:szCs w:val="28"/>
      <w:shd w:val="clear" w:color="auto" w:fill="153D63" w:themeFill="text2" w:themeFillTint="E6"/>
    </w:rPr>
  </w:style>
  <w:style w:type="table" w:customStyle="1" w:styleId="Tabela-Siatka2">
    <w:name w:val="Tabela - Siatka2"/>
    <w:basedOn w:val="Standardowy"/>
    <w:next w:val="Tabela-Siatka"/>
    <w:uiPriority w:val="39"/>
    <w:rsid w:val="00C568F1"/>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C568F1"/>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C568F1"/>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C568F1"/>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568F1"/>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F4665C"/>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F4665C"/>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393714"/>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927B0A"/>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927B0A"/>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927B0A"/>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927B0A"/>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D02D8F"/>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00F07"/>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132AD6"/>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A0248"/>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Nierozpoznanawzmianka">
    <w:name w:val="Unresolved Mention"/>
    <w:basedOn w:val="Domylnaczcionkaakapitu"/>
    <w:uiPriority w:val="99"/>
    <w:semiHidden/>
    <w:unhideWhenUsed/>
    <w:rsid w:val="002A0248"/>
    <w:rPr>
      <w:color w:val="605E5C"/>
      <w:shd w:val="clear" w:color="auto" w:fill="E1DFDD"/>
    </w:rPr>
  </w:style>
  <w:style w:type="paragraph" w:styleId="Tekstprzypisukocowego">
    <w:name w:val="endnote text"/>
    <w:basedOn w:val="Normalny"/>
    <w:link w:val="TekstprzypisukocowegoZnak"/>
    <w:uiPriority w:val="99"/>
    <w:semiHidden/>
    <w:unhideWhenUsed/>
    <w:rsid w:val="002A024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0248"/>
    <w:rPr>
      <w:sz w:val="20"/>
      <w:szCs w:val="20"/>
    </w:rPr>
  </w:style>
  <w:style w:type="character" w:styleId="Odwoanieprzypisukocowego">
    <w:name w:val="endnote reference"/>
    <w:basedOn w:val="Domylnaczcionkaakapitu"/>
    <w:uiPriority w:val="99"/>
    <w:semiHidden/>
    <w:unhideWhenUsed/>
    <w:rsid w:val="002A0248"/>
    <w:rPr>
      <w:vertAlign w:val="superscript"/>
    </w:rPr>
  </w:style>
  <w:style w:type="character" w:styleId="UyteHipercze">
    <w:name w:val="FollowedHyperlink"/>
    <w:basedOn w:val="Domylnaczcionkaakapitu"/>
    <w:uiPriority w:val="99"/>
    <w:semiHidden/>
    <w:unhideWhenUsed/>
    <w:rsid w:val="00E52C92"/>
    <w:rPr>
      <w:color w:val="96607D" w:themeColor="followedHyperlink"/>
      <w:u w:val="single"/>
    </w:rPr>
  </w:style>
  <w:style w:type="paragraph" w:styleId="Legenda">
    <w:name w:val="caption"/>
    <w:basedOn w:val="Normalny"/>
    <w:next w:val="Normalny"/>
    <w:uiPriority w:val="35"/>
    <w:unhideWhenUsed/>
    <w:qFormat/>
    <w:rsid w:val="005A16F7"/>
    <w:pPr>
      <w:spacing w:after="200" w:line="240" w:lineRule="auto"/>
    </w:pPr>
    <w:rPr>
      <w:i/>
      <w:iCs/>
      <w:color w:val="0E2841" w:themeColor="text2"/>
      <w:sz w:val="18"/>
      <w:szCs w:val="18"/>
    </w:rPr>
  </w:style>
  <w:style w:type="paragraph" w:styleId="Spisilustracji">
    <w:name w:val="table of figures"/>
    <w:basedOn w:val="Normalny"/>
    <w:next w:val="Normalny"/>
    <w:uiPriority w:val="99"/>
    <w:unhideWhenUsed/>
    <w:rsid w:val="000B5A32"/>
    <w:pPr>
      <w:spacing w:after="0"/>
    </w:pPr>
  </w:style>
  <w:style w:type="paragraph" w:styleId="Spistreci4">
    <w:name w:val="toc 4"/>
    <w:basedOn w:val="Normalny"/>
    <w:next w:val="Normalny"/>
    <w:autoRedefine/>
    <w:uiPriority w:val="39"/>
    <w:unhideWhenUsed/>
    <w:rsid w:val="0024620F"/>
    <w:pPr>
      <w:spacing w:after="100" w:line="278" w:lineRule="auto"/>
      <w:ind w:left="720"/>
    </w:pPr>
    <w:rPr>
      <w:rFonts w:asciiTheme="minorHAnsi" w:eastAsiaTheme="minorEastAsia" w:hAnsiTheme="minorHAnsi" w:cstheme="minorBidi"/>
      <w:color w:val="auto"/>
      <w:lang w:eastAsia="pl-PL"/>
    </w:rPr>
  </w:style>
  <w:style w:type="paragraph" w:styleId="Spistreci5">
    <w:name w:val="toc 5"/>
    <w:basedOn w:val="Normalny"/>
    <w:next w:val="Normalny"/>
    <w:autoRedefine/>
    <w:uiPriority w:val="39"/>
    <w:unhideWhenUsed/>
    <w:rsid w:val="0024620F"/>
    <w:pPr>
      <w:spacing w:after="100" w:line="278" w:lineRule="auto"/>
      <w:ind w:left="960"/>
    </w:pPr>
    <w:rPr>
      <w:rFonts w:asciiTheme="minorHAnsi" w:eastAsiaTheme="minorEastAsia" w:hAnsiTheme="minorHAnsi" w:cstheme="minorBidi"/>
      <w:color w:val="auto"/>
      <w:lang w:eastAsia="pl-PL"/>
    </w:rPr>
  </w:style>
  <w:style w:type="paragraph" w:styleId="Spistreci6">
    <w:name w:val="toc 6"/>
    <w:basedOn w:val="Normalny"/>
    <w:next w:val="Normalny"/>
    <w:autoRedefine/>
    <w:uiPriority w:val="39"/>
    <w:unhideWhenUsed/>
    <w:rsid w:val="0024620F"/>
    <w:pPr>
      <w:spacing w:after="100" w:line="278" w:lineRule="auto"/>
      <w:ind w:left="1200"/>
    </w:pPr>
    <w:rPr>
      <w:rFonts w:asciiTheme="minorHAnsi" w:eastAsiaTheme="minorEastAsia" w:hAnsiTheme="minorHAnsi" w:cstheme="minorBidi"/>
      <w:color w:val="auto"/>
      <w:lang w:eastAsia="pl-PL"/>
    </w:rPr>
  </w:style>
  <w:style w:type="paragraph" w:styleId="Spistreci7">
    <w:name w:val="toc 7"/>
    <w:basedOn w:val="Normalny"/>
    <w:next w:val="Normalny"/>
    <w:autoRedefine/>
    <w:uiPriority w:val="39"/>
    <w:unhideWhenUsed/>
    <w:rsid w:val="0024620F"/>
    <w:pPr>
      <w:spacing w:after="100" w:line="278" w:lineRule="auto"/>
      <w:ind w:left="1440"/>
    </w:pPr>
    <w:rPr>
      <w:rFonts w:asciiTheme="minorHAnsi" w:eastAsiaTheme="minorEastAsia" w:hAnsiTheme="minorHAnsi" w:cstheme="minorBidi"/>
      <w:color w:val="auto"/>
      <w:lang w:eastAsia="pl-PL"/>
    </w:rPr>
  </w:style>
  <w:style w:type="paragraph" w:styleId="Spistreci8">
    <w:name w:val="toc 8"/>
    <w:basedOn w:val="Normalny"/>
    <w:next w:val="Normalny"/>
    <w:autoRedefine/>
    <w:uiPriority w:val="39"/>
    <w:unhideWhenUsed/>
    <w:rsid w:val="0024620F"/>
    <w:pPr>
      <w:spacing w:after="100" w:line="278" w:lineRule="auto"/>
      <w:ind w:left="1680"/>
    </w:pPr>
    <w:rPr>
      <w:rFonts w:asciiTheme="minorHAnsi" w:eastAsiaTheme="minorEastAsia" w:hAnsiTheme="minorHAnsi" w:cstheme="minorBidi"/>
      <w:color w:val="auto"/>
      <w:lang w:eastAsia="pl-PL"/>
    </w:rPr>
  </w:style>
  <w:style w:type="paragraph" w:styleId="Spistreci9">
    <w:name w:val="toc 9"/>
    <w:basedOn w:val="Normalny"/>
    <w:next w:val="Normalny"/>
    <w:autoRedefine/>
    <w:uiPriority w:val="39"/>
    <w:unhideWhenUsed/>
    <w:rsid w:val="0024620F"/>
    <w:pPr>
      <w:spacing w:after="100" w:line="278" w:lineRule="auto"/>
      <w:ind w:left="1920"/>
    </w:pPr>
    <w:rPr>
      <w:rFonts w:asciiTheme="minorHAnsi" w:eastAsiaTheme="minorEastAsia" w:hAnsiTheme="minorHAnsi" w:cstheme="minorBidi"/>
      <w:color w:val="auto"/>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07/relationships/hdphoto" Target="media/hdphoto2.wdp"/><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tomtom.com/traffic-index/" TargetMode="External"/><Relationship Id="rId3" Type="http://schemas.openxmlformats.org/officeDocument/2006/relationships/hyperlink" Target="https://www.rp.pl/local-content/art44209301-spektakularny-awans-port-gdansk-coraz-wyzej-w-europejskim-rankingu-portow" TargetMode="External"/><Relationship Id="rId7" Type="http://schemas.openxmlformats.org/officeDocument/2006/relationships/hyperlink" Target="https://orka.sejm.gov.pl/Druki10ka.nsf/0/BBA76D79643D35F7C1258E06002AB32F/%24File/2625.pdf" TargetMode="External"/><Relationship Id="rId2" Type="http://schemas.openxmlformats.org/officeDocument/2006/relationships/hyperlink" Target="https://eur03.safelinks.protection.outlook.com/?url=https%3A%2F%2Fppg.ibngr.pl%2Fwp-content%2Fuploads%2F2026%2F04%2Fpuls-gospodarczy-pomorza-za-2025-rok.pdf&amp;data=05%7C02%7CA.Morawska%40pomorskie.eu%7C932e5752fa71404fcf4108df09a68d63%7Cd068912c1a1246dd8752e965d7864cdf%7C0%7C0%7C639240283269371598%7CUnknown%7CTWFpbGZsb3d8eyJFbXB0eU1hcGkiOnRydWUsIlYiOiIwLjAuMDAwMCIsIlAiOiJXaW4zMiIsIkFOIjoiTWFpbCIsIldUIjoyfQ%3D%3D%7C0%7C%7C%7C&amp;sdata=9LGQ%2FzeChaaz0zhRQ2wDic2gphFiN3%2F78U0MBPLbjlk%3D&amp;reserved=0" TargetMode="External"/><Relationship Id="rId1" Type="http://schemas.openxmlformats.org/officeDocument/2006/relationships/hyperlink" Target="https://www.gov.pl/web/ijhars/udostepnianie-informacji-o-producentach-w-rolnictwie-ekologicznym-1" TargetMode="External"/><Relationship Id="rId6" Type="http://schemas.openxmlformats.org/officeDocument/2006/relationships/hyperlink" Target="https://www.airport.gdansk.pl" TargetMode="External"/><Relationship Id="rId5" Type="http://schemas.openxmlformats.org/officeDocument/2006/relationships/hyperlink" Target="https://www.port.gdynia.pl" TargetMode="External"/><Relationship Id="rId4" Type="http://schemas.openxmlformats.org/officeDocument/2006/relationships/hyperlink" Target="https://www.lloydslist.com/one-hundred-container-ports-2025" TargetMode="External"/><Relationship Id="rId9" Type="http://schemas.openxmlformats.org/officeDocument/2006/relationships/hyperlink" Target="https://wody.isok.gov.pl/hydroportal.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23FAF3E3-C97D-47B6-B925-00FAB2B49AA5}">
  <ds:schemaRefs>
    <ds:schemaRef ds:uri="http://schemas.openxmlformats.org/officeDocument/2006/bibliography"/>
  </ds:schemaRefs>
</ds:datastoreItem>
</file>

<file path=customXml/itemProps2.xml><?xml version="1.0" encoding="utf-8"?>
<ds:datastoreItem xmlns:ds="http://schemas.openxmlformats.org/officeDocument/2006/customXml" ds:itemID="{B6DF7863-0125-443F-9F45-75D3535696D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141</Pages>
  <Words>40501</Words>
  <Characters>243009</Characters>
  <Application>Microsoft Office Word</Application>
  <DocSecurity>0</DocSecurity>
  <Lines>2025</Lines>
  <Paragraphs>565</Paragraphs>
  <ScaleCrop>false</ScaleCrop>
  <HeadingPairs>
    <vt:vector size="2" baseType="variant">
      <vt:variant>
        <vt:lpstr>Tytuł</vt:lpstr>
      </vt:variant>
      <vt:variant>
        <vt:i4>1</vt:i4>
      </vt:variant>
    </vt:vector>
  </HeadingPairs>
  <TitlesOfParts>
    <vt:vector size="1" baseType="lpstr">
      <vt:lpstr/>
    </vt:vector>
  </TitlesOfParts>
  <Company>Urzad Marszalkowski Wojewodztwa Pomorskiego</Company>
  <LinksUpToDate>false</LinksUpToDate>
  <CharactersWithSpaces>282945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Rozwoju Województwa Pomorskiego 2035 projekt do konsultacji</dc:title>
  <dc:subject/>
  <dc:creator>Urząd Marszałkowski Województwa Pomorskiego</dc:creator>
  <cp:keywords>projekt strategii; konsultacje społeczne; Pomorskie</cp:keywords>
  <dc:description/>
  <dcterms:created xsi:type="dcterms:W3CDTF">2026-09-08T11:21:00Z</dcterms:created>
  <dcterms:modified xsi:type="dcterms:W3CDTF">2026-09-08T13:14:00Z</dcterms:modified>
</cp:coreProperties>
</file>