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D95" w:rsidRDefault="00E318D9" w:rsidP="00E318D9">
      <w:pPr>
        <w:pStyle w:val="Tytu"/>
        <w:rPr>
          <w:sz w:val="52"/>
        </w:rPr>
      </w:pPr>
      <w:r w:rsidRPr="00D755CD">
        <w:rPr>
          <w:noProof/>
          <w:sz w:val="52"/>
          <w:lang w:eastAsia="pl-PL"/>
        </w:rPr>
        <w:drawing>
          <wp:anchor distT="0" distB="0" distL="114300" distR="114300" simplePos="0" relativeHeight="251659264" behindDoc="0" locked="0" layoutInCell="1" allowOverlap="1" wp14:anchorId="3560A346" wp14:editId="5764862D">
            <wp:simplePos x="0" y="0"/>
            <wp:positionH relativeFrom="margin">
              <wp:align>center</wp:align>
            </wp:positionH>
            <wp:positionV relativeFrom="paragraph">
              <wp:posOffset>1094740</wp:posOffset>
            </wp:positionV>
            <wp:extent cx="1432560" cy="876300"/>
            <wp:effectExtent l="0" t="0" r="0" b="0"/>
            <wp:wrapNone/>
            <wp:docPr id="1" name="Obraz 1" descr="Zarzad_Wojewodztwa_Pomorskiego_pion-SEMI-BOLD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rzad_Wojewodztwa_Pomorskiego_pion-SEMI-BOLD-RGB-NIE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325" w:rsidRPr="00D755CD">
        <w:rPr>
          <w:sz w:val="52"/>
        </w:rPr>
        <w:t>Raport z przebiegu i wyników konsultacji projektu zmiany programu Fundusze Europejskie dla Pomorza 2021-2027</w:t>
      </w:r>
      <w:r w:rsidR="00970F3A">
        <w:rPr>
          <w:sz w:val="52"/>
        </w:rPr>
        <w:t xml:space="preserve"> w ramach drugiego etapu przeglądu śródokresowego</w:t>
      </w:r>
    </w:p>
    <w:p w:rsidR="00435417" w:rsidRDefault="00435417" w:rsidP="00435417"/>
    <w:p w:rsidR="00435417" w:rsidRPr="00435417" w:rsidRDefault="00435417" w:rsidP="00435417">
      <w:pPr>
        <w:sectPr w:rsidR="00435417" w:rsidRPr="00435417" w:rsidSect="00727D95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b/>
          <w:sz w:val="32"/>
        </w:rPr>
        <w:id w:val="-1871990247"/>
        <w:docPartObj>
          <w:docPartGallery w:val="Table of Contents"/>
          <w:docPartUnique/>
        </w:docPartObj>
      </w:sdtPr>
      <w:sdtEndPr>
        <w:rPr>
          <w:bCs/>
          <w:sz w:val="22"/>
        </w:rPr>
      </w:sdtEndPr>
      <w:sdtContent>
        <w:p w:rsidR="003E4325" w:rsidRPr="005805DB" w:rsidRDefault="003E4325" w:rsidP="00435417">
          <w:pPr>
            <w:rPr>
              <w:b/>
              <w:sz w:val="26"/>
              <w:szCs w:val="26"/>
            </w:rPr>
          </w:pPr>
          <w:r w:rsidRPr="005805DB">
            <w:rPr>
              <w:b/>
              <w:sz w:val="26"/>
              <w:szCs w:val="26"/>
            </w:rPr>
            <w:t>Spis treści</w:t>
          </w:r>
        </w:p>
        <w:p w:rsidR="00D846E2" w:rsidRDefault="003E4325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017465" w:history="1">
            <w:r w:rsidR="00D846E2" w:rsidRPr="00723602">
              <w:rPr>
                <w:rStyle w:val="Hipercze"/>
                <w:noProof/>
              </w:rPr>
              <w:t>I.</w:t>
            </w:r>
            <w:r w:rsidR="00D846E2">
              <w:rPr>
                <w:rFonts w:eastAsiaTheme="minorEastAsia"/>
                <w:noProof/>
                <w:lang w:eastAsia="pl-PL"/>
              </w:rPr>
              <w:tab/>
            </w:r>
            <w:r w:rsidR="00D846E2" w:rsidRPr="00723602">
              <w:rPr>
                <w:rStyle w:val="Hipercze"/>
                <w:noProof/>
              </w:rPr>
              <w:t>Podstawowe informacje</w:t>
            </w:r>
            <w:r w:rsidR="00D846E2">
              <w:rPr>
                <w:noProof/>
                <w:webHidden/>
              </w:rPr>
              <w:tab/>
            </w:r>
            <w:r w:rsidR="00D846E2">
              <w:rPr>
                <w:noProof/>
                <w:webHidden/>
              </w:rPr>
              <w:fldChar w:fldCharType="begin"/>
            </w:r>
            <w:r w:rsidR="00D846E2">
              <w:rPr>
                <w:noProof/>
                <w:webHidden/>
              </w:rPr>
              <w:instrText xml:space="preserve"> PAGEREF _Toc214017465 \h </w:instrText>
            </w:r>
            <w:r w:rsidR="00D846E2">
              <w:rPr>
                <w:noProof/>
                <w:webHidden/>
              </w:rPr>
            </w:r>
            <w:r w:rsidR="00D846E2">
              <w:rPr>
                <w:noProof/>
                <w:webHidden/>
              </w:rPr>
              <w:fldChar w:fldCharType="separate"/>
            </w:r>
            <w:r w:rsidR="00A572A8">
              <w:rPr>
                <w:noProof/>
                <w:webHidden/>
              </w:rPr>
              <w:t>3</w:t>
            </w:r>
            <w:r w:rsidR="00D846E2">
              <w:rPr>
                <w:noProof/>
                <w:webHidden/>
              </w:rPr>
              <w:fldChar w:fldCharType="end"/>
            </w:r>
          </w:hyperlink>
        </w:p>
        <w:p w:rsidR="00D846E2" w:rsidRDefault="005F279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017466" w:history="1">
            <w:r w:rsidR="00D846E2" w:rsidRPr="00723602">
              <w:rPr>
                <w:rStyle w:val="Hipercze"/>
                <w:noProof/>
              </w:rPr>
              <w:t>II.</w:t>
            </w:r>
            <w:r w:rsidR="00D846E2">
              <w:rPr>
                <w:rFonts w:eastAsiaTheme="minorEastAsia"/>
                <w:noProof/>
                <w:lang w:eastAsia="pl-PL"/>
              </w:rPr>
              <w:tab/>
            </w:r>
            <w:r w:rsidR="00D846E2" w:rsidRPr="00723602">
              <w:rPr>
                <w:rStyle w:val="Hipercze"/>
                <w:noProof/>
              </w:rPr>
              <w:t>Przesłanki zmiany programu FEP 2021-2027</w:t>
            </w:r>
            <w:r w:rsidR="00D846E2">
              <w:rPr>
                <w:noProof/>
                <w:webHidden/>
              </w:rPr>
              <w:tab/>
            </w:r>
            <w:r w:rsidR="00D846E2">
              <w:rPr>
                <w:noProof/>
                <w:webHidden/>
              </w:rPr>
              <w:fldChar w:fldCharType="begin"/>
            </w:r>
            <w:r w:rsidR="00D846E2">
              <w:rPr>
                <w:noProof/>
                <w:webHidden/>
              </w:rPr>
              <w:instrText xml:space="preserve"> PAGEREF _Toc214017466 \h </w:instrText>
            </w:r>
            <w:r w:rsidR="00D846E2">
              <w:rPr>
                <w:noProof/>
                <w:webHidden/>
              </w:rPr>
            </w:r>
            <w:r w:rsidR="00D846E2">
              <w:rPr>
                <w:noProof/>
                <w:webHidden/>
              </w:rPr>
              <w:fldChar w:fldCharType="separate"/>
            </w:r>
            <w:r w:rsidR="00A572A8">
              <w:rPr>
                <w:noProof/>
                <w:webHidden/>
              </w:rPr>
              <w:t>3</w:t>
            </w:r>
            <w:r w:rsidR="00D846E2">
              <w:rPr>
                <w:noProof/>
                <w:webHidden/>
              </w:rPr>
              <w:fldChar w:fldCharType="end"/>
            </w:r>
          </w:hyperlink>
        </w:p>
        <w:p w:rsidR="00D846E2" w:rsidRDefault="005F279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017467" w:history="1">
            <w:r w:rsidR="00D846E2" w:rsidRPr="00723602">
              <w:rPr>
                <w:rStyle w:val="Hipercze"/>
                <w:noProof/>
              </w:rPr>
              <w:t>III.</w:t>
            </w:r>
            <w:r w:rsidR="00D846E2">
              <w:rPr>
                <w:rFonts w:eastAsiaTheme="minorEastAsia"/>
                <w:noProof/>
                <w:lang w:eastAsia="pl-PL"/>
              </w:rPr>
              <w:tab/>
            </w:r>
            <w:r w:rsidR="00D846E2" w:rsidRPr="00723602">
              <w:rPr>
                <w:rStyle w:val="Hipercze"/>
                <w:noProof/>
              </w:rPr>
              <w:t>Przebieg konsultacji</w:t>
            </w:r>
            <w:r w:rsidR="00D846E2">
              <w:rPr>
                <w:noProof/>
                <w:webHidden/>
              </w:rPr>
              <w:tab/>
            </w:r>
            <w:r w:rsidR="00D846E2">
              <w:rPr>
                <w:noProof/>
                <w:webHidden/>
              </w:rPr>
              <w:fldChar w:fldCharType="begin"/>
            </w:r>
            <w:r w:rsidR="00D846E2">
              <w:rPr>
                <w:noProof/>
                <w:webHidden/>
              </w:rPr>
              <w:instrText xml:space="preserve"> PAGEREF _Toc214017467 \h </w:instrText>
            </w:r>
            <w:r w:rsidR="00D846E2">
              <w:rPr>
                <w:noProof/>
                <w:webHidden/>
              </w:rPr>
            </w:r>
            <w:r w:rsidR="00D846E2">
              <w:rPr>
                <w:noProof/>
                <w:webHidden/>
              </w:rPr>
              <w:fldChar w:fldCharType="separate"/>
            </w:r>
            <w:r w:rsidR="00A572A8">
              <w:rPr>
                <w:noProof/>
                <w:webHidden/>
              </w:rPr>
              <w:t>4</w:t>
            </w:r>
            <w:r w:rsidR="00D846E2">
              <w:rPr>
                <w:noProof/>
                <w:webHidden/>
              </w:rPr>
              <w:fldChar w:fldCharType="end"/>
            </w:r>
          </w:hyperlink>
        </w:p>
        <w:p w:rsidR="00D846E2" w:rsidRDefault="005F279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4017468" w:history="1">
            <w:r w:rsidR="00D846E2" w:rsidRPr="00723602">
              <w:rPr>
                <w:rStyle w:val="Hipercze"/>
                <w:noProof/>
              </w:rPr>
              <w:t>Załącznik 1. Uwagi zgłoszone w ramach konsultacji społecznych i sposób ich rozstrzygnięcia</w:t>
            </w:r>
            <w:r w:rsidR="00D846E2">
              <w:rPr>
                <w:noProof/>
                <w:webHidden/>
              </w:rPr>
              <w:tab/>
            </w:r>
            <w:r w:rsidR="00D846E2">
              <w:rPr>
                <w:noProof/>
                <w:webHidden/>
              </w:rPr>
              <w:fldChar w:fldCharType="begin"/>
            </w:r>
            <w:r w:rsidR="00D846E2">
              <w:rPr>
                <w:noProof/>
                <w:webHidden/>
              </w:rPr>
              <w:instrText xml:space="preserve"> PAGEREF _Toc214017468 \h </w:instrText>
            </w:r>
            <w:r w:rsidR="00D846E2">
              <w:rPr>
                <w:noProof/>
                <w:webHidden/>
              </w:rPr>
            </w:r>
            <w:r w:rsidR="00D846E2">
              <w:rPr>
                <w:noProof/>
                <w:webHidden/>
              </w:rPr>
              <w:fldChar w:fldCharType="separate"/>
            </w:r>
            <w:r w:rsidR="00A572A8">
              <w:rPr>
                <w:noProof/>
                <w:webHidden/>
              </w:rPr>
              <w:t>6</w:t>
            </w:r>
            <w:r w:rsidR="00D846E2">
              <w:rPr>
                <w:noProof/>
                <w:webHidden/>
              </w:rPr>
              <w:fldChar w:fldCharType="end"/>
            </w:r>
          </w:hyperlink>
        </w:p>
        <w:p w:rsidR="00D846E2" w:rsidRDefault="005F279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4017469" w:history="1">
            <w:r w:rsidR="00D846E2" w:rsidRPr="00723602">
              <w:rPr>
                <w:rStyle w:val="Hipercze"/>
                <w:noProof/>
              </w:rPr>
              <w:t>Załącznik 2. Formularz zgłaszania uwag w ramach konsultacji społecznych</w:t>
            </w:r>
            <w:r w:rsidR="00D846E2">
              <w:rPr>
                <w:noProof/>
                <w:webHidden/>
              </w:rPr>
              <w:tab/>
            </w:r>
            <w:r w:rsidR="00D846E2">
              <w:rPr>
                <w:noProof/>
                <w:webHidden/>
              </w:rPr>
              <w:fldChar w:fldCharType="begin"/>
            </w:r>
            <w:r w:rsidR="00D846E2">
              <w:rPr>
                <w:noProof/>
                <w:webHidden/>
              </w:rPr>
              <w:instrText xml:space="preserve"> PAGEREF _Toc214017469 \h </w:instrText>
            </w:r>
            <w:r w:rsidR="00D846E2">
              <w:rPr>
                <w:noProof/>
                <w:webHidden/>
              </w:rPr>
            </w:r>
            <w:r w:rsidR="00D846E2">
              <w:rPr>
                <w:noProof/>
                <w:webHidden/>
              </w:rPr>
              <w:fldChar w:fldCharType="separate"/>
            </w:r>
            <w:r w:rsidR="00A572A8">
              <w:rPr>
                <w:noProof/>
                <w:webHidden/>
              </w:rPr>
              <w:t>15</w:t>
            </w:r>
            <w:r w:rsidR="00D846E2">
              <w:rPr>
                <w:noProof/>
                <w:webHidden/>
              </w:rPr>
              <w:fldChar w:fldCharType="end"/>
            </w:r>
          </w:hyperlink>
        </w:p>
        <w:p w:rsidR="00D846E2" w:rsidRDefault="005F279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4017470" w:history="1">
            <w:r w:rsidR="00D846E2" w:rsidRPr="00723602">
              <w:rPr>
                <w:rStyle w:val="Hipercze"/>
                <w:noProof/>
              </w:rPr>
              <w:t>Załącznik 3. Ogłoszenie prasowe o konsultacjach</w:t>
            </w:r>
            <w:r w:rsidR="00D846E2">
              <w:rPr>
                <w:noProof/>
                <w:webHidden/>
              </w:rPr>
              <w:tab/>
            </w:r>
            <w:r w:rsidR="00D846E2">
              <w:rPr>
                <w:noProof/>
                <w:webHidden/>
              </w:rPr>
              <w:fldChar w:fldCharType="begin"/>
            </w:r>
            <w:r w:rsidR="00D846E2">
              <w:rPr>
                <w:noProof/>
                <w:webHidden/>
              </w:rPr>
              <w:instrText xml:space="preserve"> PAGEREF _Toc214017470 \h </w:instrText>
            </w:r>
            <w:r w:rsidR="00D846E2">
              <w:rPr>
                <w:noProof/>
                <w:webHidden/>
              </w:rPr>
            </w:r>
            <w:r w:rsidR="00D846E2">
              <w:rPr>
                <w:noProof/>
                <w:webHidden/>
              </w:rPr>
              <w:fldChar w:fldCharType="separate"/>
            </w:r>
            <w:r w:rsidR="00A572A8">
              <w:rPr>
                <w:noProof/>
                <w:webHidden/>
              </w:rPr>
              <w:t>17</w:t>
            </w:r>
            <w:r w:rsidR="00D846E2">
              <w:rPr>
                <w:noProof/>
                <w:webHidden/>
              </w:rPr>
              <w:fldChar w:fldCharType="end"/>
            </w:r>
          </w:hyperlink>
        </w:p>
        <w:p w:rsidR="003E4325" w:rsidRDefault="003E4325">
          <w:r>
            <w:rPr>
              <w:b/>
              <w:bCs/>
            </w:rPr>
            <w:fldChar w:fldCharType="end"/>
          </w:r>
        </w:p>
      </w:sdtContent>
    </w:sdt>
    <w:p w:rsidR="003E4325" w:rsidRDefault="003E4325" w:rsidP="003E4325">
      <w:pPr>
        <w:sectPr w:rsidR="003E4325" w:rsidSect="00727D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4325" w:rsidRPr="005805DB" w:rsidRDefault="003E4325" w:rsidP="00D755CD">
      <w:pPr>
        <w:pStyle w:val="Nagwek1"/>
        <w:numPr>
          <w:ilvl w:val="0"/>
          <w:numId w:val="3"/>
        </w:numPr>
        <w:ind w:left="426" w:hanging="426"/>
        <w:rPr>
          <w:sz w:val="26"/>
          <w:szCs w:val="26"/>
        </w:rPr>
      </w:pPr>
      <w:bookmarkStart w:id="0" w:name="_Toc214017465"/>
      <w:r w:rsidRPr="005805DB">
        <w:rPr>
          <w:sz w:val="26"/>
          <w:szCs w:val="26"/>
        </w:rPr>
        <w:lastRenderedPageBreak/>
        <w:t>Podstawowe informacje</w:t>
      </w:r>
      <w:bookmarkEnd w:id="0"/>
      <w:r w:rsidRPr="005805DB">
        <w:rPr>
          <w:sz w:val="26"/>
          <w:szCs w:val="26"/>
        </w:rPr>
        <w:t xml:space="preserve"> </w:t>
      </w:r>
    </w:p>
    <w:p w:rsidR="003E4325" w:rsidRDefault="00E318D9" w:rsidP="00D755CD">
      <w:pPr>
        <w:spacing w:line="360" w:lineRule="auto"/>
      </w:pPr>
      <w:r>
        <w:t xml:space="preserve">W dniu </w:t>
      </w:r>
      <w:r w:rsidR="00FB531C" w:rsidRPr="00FB531C">
        <w:t>23 października</w:t>
      </w:r>
      <w:r w:rsidRPr="00FB531C">
        <w:t xml:space="preserve"> 2025 r. Zarząd Województwa Pomorskiego (ZWP) przyjął</w:t>
      </w:r>
      <w:r w:rsidR="00FB531C" w:rsidRPr="00FB531C">
        <w:t xml:space="preserve"> ocenę uzupełniającą oraz projekt zmiany programu Fundusze Europejskie dla Pomorza 2021-2027</w:t>
      </w:r>
      <w:r w:rsidR="00FB531C" w:rsidRPr="00FB531C">
        <w:rPr>
          <w:rStyle w:val="Odwoanieprzypisudolnego"/>
        </w:rPr>
        <w:footnoteReference w:id="1"/>
      </w:r>
      <w:r w:rsidR="00FB531C" w:rsidRPr="00FB531C">
        <w:t xml:space="preserve"> (FEP 2021-2027) w ramach drugiego etapu przeglądu śródokresowego i </w:t>
      </w:r>
      <w:r w:rsidRPr="00FB531C">
        <w:t xml:space="preserve">skierował go do konsultacji, które trwały łącznie </w:t>
      </w:r>
      <w:r w:rsidR="00AD78E5" w:rsidRPr="00FB531C">
        <w:t>35</w:t>
      </w:r>
      <w:r w:rsidRPr="00FB531C">
        <w:t xml:space="preserve"> dni – od </w:t>
      </w:r>
      <w:r w:rsidR="0038387B" w:rsidRPr="00FB531C">
        <w:t>24 października</w:t>
      </w:r>
      <w:r w:rsidRPr="00FB531C">
        <w:t xml:space="preserve"> do </w:t>
      </w:r>
      <w:r w:rsidR="0038387B" w:rsidRPr="00FB531C">
        <w:t>27 listopada</w:t>
      </w:r>
      <w:r w:rsidRPr="00FB531C">
        <w:t xml:space="preserve"> 2025 r.</w:t>
      </w:r>
    </w:p>
    <w:p w:rsidR="00AD78E5" w:rsidRDefault="00AD78E5" w:rsidP="00D755CD">
      <w:pPr>
        <w:spacing w:line="360" w:lineRule="auto"/>
      </w:pPr>
      <w:r w:rsidRPr="00E9765C">
        <w:t xml:space="preserve">W okresie </w:t>
      </w:r>
      <w:r w:rsidR="009B1502" w:rsidRPr="00E9765C">
        <w:t>t</w:t>
      </w:r>
      <w:r w:rsidRPr="00E9765C">
        <w:t>rwania procesu konsultacyjnego</w:t>
      </w:r>
      <w:r w:rsidR="00A4636F">
        <w:t xml:space="preserve"> pięć</w:t>
      </w:r>
      <w:r w:rsidR="00805FE9" w:rsidRPr="00773287">
        <w:t xml:space="preserve"> </w:t>
      </w:r>
      <w:r w:rsidRPr="00773287">
        <w:t>podmiot</w:t>
      </w:r>
      <w:r w:rsidR="00A4636F">
        <w:t>ów</w:t>
      </w:r>
      <w:r w:rsidRPr="00D92257">
        <w:t xml:space="preserve"> skorzystał</w:t>
      </w:r>
      <w:r w:rsidR="00A4636F">
        <w:t>o</w:t>
      </w:r>
      <w:r w:rsidRPr="00D92257">
        <w:t xml:space="preserve"> z możliwości wyrażenia opinii na temat projekt</w:t>
      </w:r>
      <w:r w:rsidR="009B1502" w:rsidRPr="00D92257">
        <w:t>u</w:t>
      </w:r>
      <w:r w:rsidRPr="00D92257">
        <w:t xml:space="preserve"> zmiany FEP 2021-2027.</w:t>
      </w:r>
    </w:p>
    <w:p w:rsidR="003E4325" w:rsidRPr="005805DB" w:rsidRDefault="003E4325" w:rsidP="00D755CD">
      <w:pPr>
        <w:pStyle w:val="Nagwek1"/>
        <w:rPr>
          <w:sz w:val="26"/>
          <w:szCs w:val="26"/>
        </w:rPr>
      </w:pPr>
      <w:bookmarkStart w:id="1" w:name="_Toc214017466"/>
      <w:r w:rsidRPr="005805DB">
        <w:rPr>
          <w:sz w:val="26"/>
          <w:szCs w:val="26"/>
        </w:rPr>
        <w:t>Przesłanki zmiany</w:t>
      </w:r>
      <w:r w:rsidR="00BE4C07" w:rsidRPr="005805DB">
        <w:rPr>
          <w:sz w:val="26"/>
          <w:szCs w:val="26"/>
        </w:rPr>
        <w:t xml:space="preserve"> programu</w:t>
      </w:r>
      <w:r w:rsidRPr="005805DB">
        <w:rPr>
          <w:sz w:val="26"/>
          <w:szCs w:val="26"/>
        </w:rPr>
        <w:t xml:space="preserve"> FEP 2021-2027</w:t>
      </w:r>
      <w:bookmarkEnd w:id="1"/>
    </w:p>
    <w:p w:rsidR="00D97730" w:rsidRDefault="00D97730" w:rsidP="0086044F">
      <w:pPr>
        <w:spacing w:after="120" w:line="360" w:lineRule="auto"/>
      </w:pPr>
      <w:r>
        <w:t>Zmiana programu FEP 2021-2027 wynika z konieczności dostosowania jego zapisów do nowych ram prawnych wprowadzonych przez:</w:t>
      </w:r>
    </w:p>
    <w:p w:rsidR="00D97730" w:rsidRDefault="00D97730" w:rsidP="00D97730">
      <w:pPr>
        <w:pStyle w:val="Akapitzlist"/>
        <w:numPr>
          <w:ilvl w:val="0"/>
          <w:numId w:val="15"/>
        </w:numPr>
        <w:spacing w:line="360" w:lineRule="auto"/>
      </w:pPr>
      <w:r>
        <w:t>Rozporządzenie Parlamentu Europejskiego i Rady (UE) 2025/1914 z dnia 18 września 2025 r., zmieniające rozporządzenia (UE) 2021/1058 oraz (UE) 2021/1056</w:t>
      </w:r>
      <w:r w:rsidR="00332192">
        <w:t xml:space="preserve">, </w:t>
      </w:r>
      <w:r>
        <w:t>w odniesieniu do środków szczególnych mających na celu sprostanie strategicznym wyzwaniom w kontekście przeglądu śródokresowego,</w:t>
      </w:r>
    </w:p>
    <w:p w:rsidR="00D97730" w:rsidRDefault="00D97730" w:rsidP="00D97730">
      <w:pPr>
        <w:pStyle w:val="Akapitzlist"/>
        <w:numPr>
          <w:ilvl w:val="0"/>
          <w:numId w:val="15"/>
        </w:numPr>
        <w:spacing w:line="360" w:lineRule="auto"/>
      </w:pPr>
      <w:r>
        <w:t>Rozporządzenie Parlamentu Europejskiego i Rady (UE) 2025/1913 z dnia 18 września 2025 r., zmieniające rozporządzenie (UE) 2021/1057 ustanawiające Europejski Fundusz Społeczny Plus (EFS+) w zakresie środków mających sprostać nowym wyzwaniom strategicznym.</w:t>
      </w:r>
    </w:p>
    <w:p w:rsidR="00FB531C" w:rsidRDefault="009E371F" w:rsidP="0011433A">
      <w:pPr>
        <w:spacing w:line="360" w:lineRule="auto"/>
      </w:pPr>
      <w:r>
        <w:t>Ww. p</w:t>
      </w:r>
      <w:r w:rsidR="00D97730" w:rsidRPr="00D97730">
        <w:t xml:space="preserve">akiet </w:t>
      </w:r>
      <w:r w:rsidR="009C37E0">
        <w:t xml:space="preserve">zmian </w:t>
      </w:r>
      <w:r w:rsidR="00D97730" w:rsidRPr="00D97730">
        <w:t>legislacyjny</w:t>
      </w:r>
      <w:r w:rsidR="009C37E0">
        <w:t>ch,</w:t>
      </w:r>
      <w:r w:rsidR="00D97730" w:rsidRPr="00D97730">
        <w:t xml:space="preserve"> obowiązujący od dnia 20 września 2025 r.</w:t>
      </w:r>
      <w:r w:rsidR="009C37E0">
        <w:t>,</w:t>
      </w:r>
      <w:r w:rsidR="00D97730" w:rsidRPr="00D97730">
        <w:t xml:space="preserve"> umożliwia państwom członkowskim</w:t>
      </w:r>
      <w:r w:rsidR="0086044F">
        <w:t xml:space="preserve"> przeprowadzenie</w:t>
      </w:r>
      <w:r w:rsidR="00D97730" w:rsidRPr="00D97730">
        <w:t xml:space="preserve"> drugiego etapu przeglądu śródokresowego</w:t>
      </w:r>
      <w:r w:rsidR="0086044F">
        <w:t xml:space="preserve"> programów polityki spójności</w:t>
      </w:r>
      <w:r w:rsidR="00D97730" w:rsidRPr="00D97730">
        <w:t>. Zmiany te mają na celu ukierunkowanie interwencji na nowe, priorytetowe wyzwania o charakterze strategicznym, które ujawniły się w trakcie wdrażania perspektywy 2021</w:t>
      </w:r>
      <w:r w:rsidR="00FB531C">
        <w:t>-</w:t>
      </w:r>
      <w:r w:rsidR="00D97730" w:rsidRPr="00D97730">
        <w:t>2027. Dotyczą one w szczególności obszarów</w:t>
      </w:r>
      <w:r w:rsidR="0086044F">
        <w:t xml:space="preserve"> b</w:t>
      </w:r>
      <w:r w:rsidR="009C37E0">
        <w:t xml:space="preserve">ezpieczeństwa i obronności, </w:t>
      </w:r>
      <w:r w:rsidR="0086044F">
        <w:t>g</w:t>
      </w:r>
      <w:r w:rsidR="009C37E0">
        <w:t>otowości i odporności cywilnej,</w:t>
      </w:r>
      <w:r w:rsidR="0086044F">
        <w:t xml:space="preserve"> kompetencji w obszarze dekarbonizacji gospodarki i t</w:t>
      </w:r>
      <w:r w:rsidR="009C37E0">
        <w:t>echnologii podwójnego zastosowania</w:t>
      </w:r>
      <w:r w:rsidR="0086044F">
        <w:t>.</w:t>
      </w:r>
    </w:p>
    <w:p w:rsidR="00332192" w:rsidRDefault="0086044F" w:rsidP="00332192">
      <w:pPr>
        <w:spacing w:after="120" w:line="360" w:lineRule="auto"/>
      </w:pPr>
      <w:r>
        <w:t xml:space="preserve">Instytucja Zarządzająca FEP 2021-2027 dokonała aktualizacji struktury </w:t>
      </w:r>
      <w:r w:rsidRPr="0086044F">
        <w:t>programu poprzez wprowadzenie nowych priorytetów, których zakres bezpośrednio odzwierciedla nowe kierunki polityki Unii Europejskiej oraz przesłanki wynikające z uwarunkowań geopolitycznych, gospodarczych, energetycznych i społecznych.</w:t>
      </w:r>
      <w:r>
        <w:t xml:space="preserve"> Zmiany dotyczą utworzenia pięciu nowych priorytetów: </w:t>
      </w:r>
    </w:p>
    <w:p w:rsidR="0086044F" w:rsidRDefault="0086044F" w:rsidP="00332192">
      <w:pPr>
        <w:pStyle w:val="Akapitzlist"/>
        <w:numPr>
          <w:ilvl w:val="0"/>
          <w:numId w:val="20"/>
        </w:numPr>
        <w:spacing w:after="120" w:line="360" w:lineRule="auto"/>
      </w:pPr>
      <w:r>
        <w:t>Priorytet 10. Fundusze europejskie dla rozwoju technologii podwójnego zastosowania na Pomorzu dedykowany rozwojowi kompleksowej oferty wsparcia przedsiębiorstw w obszarze bezpieczeństwa i obronności w oparciu o technologie podwójnego zastosowania (CS 1(vii)),</w:t>
      </w:r>
    </w:p>
    <w:p w:rsidR="0086044F" w:rsidRDefault="0086044F" w:rsidP="0086044F">
      <w:pPr>
        <w:pStyle w:val="Akapitzlist"/>
        <w:numPr>
          <w:ilvl w:val="0"/>
          <w:numId w:val="19"/>
        </w:numPr>
        <w:spacing w:line="360" w:lineRule="auto"/>
      </w:pPr>
      <w:r>
        <w:lastRenderedPageBreak/>
        <w:t>Priorytet 11. Fundusze europejskie dla bezpiecznego dostępu do wody na Pomorzu dedykowany przeciwdziałaniu deficytom w zaopatrzeniu mieszkańców w wodę do picia oraz poprawie procesów oczyszczania ścieków komunalnych (CS 2(v)),</w:t>
      </w:r>
    </w:p>
    <w:p w:rsidR="0086044F" w:rsidRDefault="0086044F" w:rsidP="0086044F">
      <w:pPr>
        <w:pStyle w:val="Akapitzlist"/>
        <w:numPr>
          <w:ilvl w:val="0"/>
          <w:numId w:val="19"/>
        </w:numPr>
        <w:spacing w:line="360" w:lineRule="auto"/>
      </w:pPr>
      <w:r>
        <w:t>Priorytet 12. Fundusze europejskie dla bezpiecznego Pomorza dedykowany działaniom na rzecz rozwoju infrastruktury kluczowej dla gotowości cywilnej i ochrony ludności oraz infrastruktury podwójnego zastosowania (CS 3(iii)),</w:t>
      </w:r>
    </w:p>
    <w:p w:rsidR="0086044F" w:rsidRDefault="0086044F" w:rsidP="0086044F">
      <w:pPr>
        <w:pStyle w:val="Akapitzlist"/>
        <w:numPr>
          <w:ilvl w:val="0"/>
          <w:numId w:val="19"/>
        </w:numPr>
        <w:spacing w:line="360" w:lineRule="auto"/>
      </w:pPr>
      <w:r>
        <w:t>Priorytet 13. Fundusze europejskie dla zwiększania dostępu do przystępnych cenowo i zrównoważonych mieszkań na Pomorzu dedykowany poprawie dostępności cenowej mieszkań, przy jednoczesnym zapewnieniu ich zgodności ze standardami budynków o wysokiej efektywności energetycznej, w tym zero- i plus-energetycznych (CS 4(vii)),</w:t>
      </w:r>
    </w:p>
    <w:p w:rsidR="00F61D2A" w:rsidRDefault="0086044F" w:rsidP="0086044F">
      <w:pPr>
        <w:pStyle w:val="Akapitzlist"/>
        <w:numPr>
          <w:ilvl w:val="0"/>
          <w:numId w:val="19"/>
        </w:numPr>
        <w:spacing w:line="360" w:lineRule="auto"/>
      </w:pPr>
      <w:r>
        <w:t>Priorytet 14. Fundusze europejskie dla kompetentnego Pomorza (EFS+) dedykowany interwencji służącej zwiększeniu zdolności adaptacyjnych pracowników, przedsiębiorstw i przedsiębiorców na wypadek występowania zdarzeń kryzysowych mających wpływ na gospodarkę i rynek pracy (CS 4(d)) oraz zapewnieniu kadr dla branż kluczowych w obszarze bezpieczeństwa, obronności i technologii podwójnego zastosowania, zgodnie ze zdiagnozowanymi potrzebami rynku pracy (CS 4 (f)).</w:t>
      </w:r>
    </w:p>
    <w:p w:rsidR="003E4325" w:rsidRPr="005805DB" w:rsidRDefault="003E4325" w:rsidP="00D755CD">
      <w:pPr>
        <w:pStyle w:val="Nagwek1"/>
        <w:rPr>
          <w:sz w:val="24"/>
          <w:szCs w:val="24"/>
        </w:rPr>
      </w:pPr>
      <w:bookmarkStart w:id="2" w:name="_Toc214017467"/>
      <w:r w:rsidRPr="005805DB">
        <w:rPr>
          <w:sz w:val="24"/>
          <w:szCs w:val="24"/>
        </w:rPr>
        <w:t>Przebieg konsultacji</w:t>
      </w:r>
      <w:bookmarkEnd w:id="2"/>
      <w:r w:rsidRPr="005805DB">
        <w:rPr>
          <w:sz w:val="24"/>
          <w:szCs w:val="24"/>
        </w:rPr>
        <w:t xml:space="preserve"> </w:t>
      </w:r>
    </w:p>
    <w:p w:rsidR="00F94643" w:rsidRDefault="00BE7135" w:rsidP="00542004">
      <w:pPr>
        <w:spacing w:line="360" w:lineRule="auto"/>
      </w:pPr>
      <w:r>
        <w:t>Główną formą konsultacji społecznych był formularz</w:t>
      </w:r>
      <w:r w:rsidR="00542004">
        <w:t xml:space="preserve"> konsultacyjny</w:t>
      </w:r>
      <w:r w:rsidR="00542004">
        <w:rPr>
          <w:rStyle w:val="Odwoanieprzypisudolnego"/>
        </w:rPr>
        <w:footnoteReference w:id="2"/>
      </w:r>
      <w:r w:rsidR="00A73719">
        <w:t xml:space="preserve"> umieszczony na stron</w:t>
      </w:r>
      <w:r w:rsidR="00EE0EDA">
        <w:t xml:space="preserve">ach </w:t>
      </w:r>
      <w:r w:rsidR="00A73719">
        <w:t>inter</w:t>
      </w:r>
      <w:r w:rsidR="00B124C7">
        <w:t>netow</w:t>
      </w:r>
      <w:r w:rsidR="00EE0EDA">
        <w:t>ych</w:t>
      </w:r>
      <w:r w:rsidR="00820971">
        <w:t xml:space="preserve"> Samorządu Województwa Pomorskiego</w:t>
      </w:r>
      <w:r w:rsidR="00C55560">
        <w:t xml:space="preserve"> </w:t>
      </w:r>
      <w:r w:rsidR="00452587">
        <w:t>(</w:t>
      </w:r>
      <w:hyperlink r:id="rId12" w:history="1">
        <w:r w:rsidR="00452587" w:rsidRPr="00D874A9">
          <w:rPr>
            <w:rStyle w:val="Hipercze"/>
          </w:rPr>
          <w:t>www.strategia2030.pomorskie.eu</w:t>
        </w:r>
      </w:hyperlink>
      <w:r w:rsidR="00EE0EDA">
        <w:rPr>
          <w:rStyle w:val="Hipercze"/>
        </w:rPr>
        <w:t xml:space="preserve"> </w:t>
      </w:r>
      <w:r w:rsidR="00452587">
        <w:t>oraz</w:t>
      </w:r>
      <w:r w:rsidR="00EE0EDA">
        <w:t xml:space="preserve"> </w:t>
      </w:r>
      <w:hyperlink r:id="rId13" w:history="1">
        <w:r w:rsidR="00EE0EDA" w:rsidRPr="00177C05">
          <w:rPr>
            <w:rStyle w:val="Hipercze"/>
          </w:rPr>
          <w:t>www.funduszeuepomorskie.pl</w:t>
        </w:r>
      </w:hyperlink>
      <w:r w:rsidR="00452587">
        <w:t xml:space="preserve">). </w:t>
      </w:r>
      <w:r w:rsidR="00435417">
        <w:t xml:space="preserve">Pisemne opinie i propozycje dotyczące </w:t>
      </w:r>
      <w:r w:rsidR="00D7249A">
        <w:t xml:space="preserve">projektu </w:t>
      </w:r>
      <w:r w:rsidR="00435417">
        <w:t xml:space="preserve">zmiany FEP 2021-2027 można było przesyłać w wersji elektronicznej na adres e-mail: </w:t>
      </w:r>
      <w:hyperlink r:id="rId14" w:history="1">
        <w:r w:rsidR="00435417" w:rsidRPr="001F6007">
          <w:rPr>
            <w:rStyle w:val="Hipercze"/>
          </w:rPr>
          <w:t>FEP21-27@pomorskie.eu</w:t>
        </w:r>
      </w:hyperlink>
      <w:r w:rsidR="00435417">
        <w:t xml:space="preserve"> lub w wersji papierowej na adres siedziby Urzęd</w:t>
      </w:r>
      <w:r w:rsidR="00E9765C">
        <w:t>u</w:t>
      </w:r>
      <w:r w:rsidR="00435417">
        <w:t xml:space="preserve"> Marszałkowskiego Województwa Pomorskiego. </w:t>
      </w:r>
      <w:r w:rsidR="00F94643" w:rsidRPr="00F94643">
        <w:t>Wszystkie dokumenty związane z procesem konsultacji projektu zmiany FEP 2021-2027 były dostępne pod ww. adres</w:t>
      </w:r>
      <w:r w:rsidR="00332192">
        <w:t>ami</w:t>
      </w:r>
      <w:r w:rsidR="00F94643" w:rsidRPr="00F94643">
        <w:t xml:space="preserve"> internetowym</w:t>
      </w:r>
      <w:r w:rsidR="00332192">
        <w:t>i</w:t>
      </w:r>
      <w:r w:rsidR="00F94643" w:rsidRPr="00F94643">
        <w:t xml:space="preserve"> przez całość okresu trwania konsultacji.</w:t>
      </w:r>
      <w:r w:rsidR="00D7249A">
        <w:t xml:space="preserve"> Ponadto</w:t>
      </w:r>
      <w:r w:rsidR="001D42BD">
        <w:t>,</w:t>
      </w:r>
      <w:r w:rsidR="00E80AF2">
        <w:t xml:space="preserve"> </w:t>
      </w:r>
      <w:r w:rsidR="00D7249A">
        <w:t>o</w:t>
      </w:r>
      <w:r w:rsidR="00542004">
        <w:t xml:space="preserve">głoszenie na temat konsultacji </w:t>
      </w:r>
      <w:r w:rsidR="00D7249A">
        <w:t xml:space="preserve">projektu </w:t>
      </w:r>
      <w:r w:rsidR="00542004">
        <w:t>zmiany FEP 2021-2027 został</w:t>
      </w:r>
      <w:r w:rsidR="004D3047">
        <w:t>o</w:t>
      </w:r>
      <w:r w:rsidR="00542004">
        <w:t xml:space="preserve"> umieszczon</w:t>
      </w:r>
      <w:r w:rsidR="004D3047">
        <w:t>e</w:t>
      </w:r>
      <w:r w:rsidR="00542004">
        <w:t xml:space="preserve"> w prasie o zasięgu regionalnym</w:t>
      </w:r>
      <w:r w:rsidR="00542004">
        <w:rPr>
          <w:rStyle w:val="Odwoanieprzypisudolnego"/>
        </w:rPr>
        <w:footnoteReference w:id="3"/>
      </w:r>
      <w:r w:rsidR="00430628">
        <w:t>.</w:t>
      </w:r>
      <w:r w:rsidR="00542004">
        <w:t xml:space="preserve"> </w:t>
      </w:r>
      <w:r w:rsidR="00430628">
        <w:t>Informacja o konsultacjach została udostępniona również za pomocą Biuletynu Unijnego UMWP oraz podczas konferencji prasowej (3 listopada 2025 r.), poświęconej przedstawieniu postępów realizacji programu FEP 2021-2027.</w:t>
      </w:r>
    </w:p>
    <w:p w:rsidR="000B51C0" w:rsidRDefault="001D42BD" w:rsidP="00DA544E">
      <w:pPr>
        <w:spacing w:line="360" w:lineRule="auto"/>
      </w:pPr>
      <w:r w:rsidRPr="00EE0EDA">
        <w:t>Dodatkowo</w:t>
      </w:r>
      <w:r w:rsidR="00DA544E" w:rsidRPr="00EE0EDA">
        <w:t xml:space="preserve">, poza formułą konsultacji społecznych, </w:t>
      </w:r>
      <w:r w:rsidR="008B50E5" w:rsidRPr="00EE0EDA">
        <w:t xml:space="preserve">zmiana FEP 2021-2027 była </w:t>
      </w:r>
      <w:r w:rsidR="000C40E0" w:rsidRPr="00EE0EDA">
        <w:t>przedmiotem</w:t>
      </w:r>
      <w:r w:rsidR="008B50E5" w:rsidRPr="00EE0EDA">
        <w:t xml:space="preserve"> dyskusji w ramach</w:t>
      </w:r>
      <w:r w:rsidR="00332192" w:rsidRPr="00EE0EDA">
        <w:t xml:space="preserve"> warsztatów dla członków</w:t>
      </w:r>
      <w:r w:rsidR="008B50E5" w:rsidRPr="00EE0EDA">
        <w:t xml:space="preserve"> Komitetu </w:t>
      </w:r>
      <w:r w:rsidR="000C40E0" w:rsidRPr="00EE0EDA">
        <w:t>Monitorującego FEP 2021-2027</w:t>
      </w:r>
      <w:r w:rsidR="00332192" w:rsidRPr="00EE0EDA">
        <w:t xml:space="preserve"> </w:t>
      </w:r>
      <w:r w:rsidR="000C40E0" w:rsidRPr="00EE0EDA">
        <w:t>(</w:t>
      </w:r>
      <w:r w:rsidR="00332192" w:rsidRPr="00EE0EDA">
        <w:t xml:space="preserve">w dniu 20 listopada </w:t>
      </w:r>
      <w:r w:rsidR="00332192" w:rsidRPr="00EE0EDA">
        <w:lastRenderedPageBreak/>
        <w:t xml:space="preserve">2025 r.). </w:t>
      </w:r>
      <w:r w:rsidR="00DA544E" w:rsidRPr="00EE0EDA">
        <w:t xml:space="preserve">Członkowie KM FEP 2021-2027 mieli możliwość zgłoszenia roboczych uwag w formie pisemnej na adres mailowy </w:t>
      </w:r>
      <w:hyperlink r:id="rId15" w:history="1">
        <w:r w:rsidR="00DA544E" w:rsidRPr="00EE0EDA">
          <w:rPr>
            <w:rStyle w:val="Hipercze"/>
          </w:rPr>
          <w:t>FEP21-27@pomorskie.eu</w:t>
        </w:r>
      </w:hyperlink>
      <w:r w:rsidR="00DA544E" w:rsidRPr="00EE0EDA">
        <w:t>.</w:t>
      </w:r>
    </w:p>
    <w:p w:rsidR="00651A36" w:rsidRDefault="00332192" w:rsidP="00CA1BAC">
      <w:pPr>
        <w:spacing w:line="360" w:lineRule="auto"/>
      </w:pPr>
      <w:r>
        <w:t xml:space="preserve">W proces zmiany </w:t>
      </w:r>
      <w:r w:rsidR="00D846E2">
        <w:t>p</w:t>
      </w:r>
      <w:r>
        <w:t xml:space="preserve">rogramu włączono również Związki Zintegrowanych Inwestycji Terytorialnych </w:t>
      </w:r>
      <w:r w:rsidR="00E80AF2">
        <w:t xml:space="preserve">(ZIT) </w:t>
      </w:r>
      <w:r>
        <w:t>Miejskich Obszarów Funkcjonalnych</w:t>
      </w:r>
      <w:r w:rsidR="00E80AF2">
        <w:t xml:space="preserve"> (MOF)</w:t>
      </w:r>
      <w:r>
        <w:t xml:space="preserve"> </w:t>
      </w:r>
      <w:r w:rsidRPr="00332192">
        <w:t>Bytowa, Chojnic-Człuchowa, Lęborka, Kościerzyny, Kwidzyna, Malborka-Sztumu, Słupska-Ustki, Starogardu Gdańskiego oraz Obszaru Metropolitalnego Gdańsk-Gdynia-Sopot</w:t>
      </w:r>
      <w:r w:rsidR="001D42BD">
        <w:t xml:space="preserve">. </w:t>
      </w:r>
      <w:r w:rsidR="001D42BD" w:rsidRPr="001D42BD">
        <w:t>W dniu 17 września 202</w:t>
      </w:r>
      <w:r w:rsidR="001D42BD">
        <w:t>5</w:t>
      </w:r>
      <w:r w:rsidR="001D42BD" w:rsidRPr="001D42BD">
        <w:t xml:space="preserve"> r. odbyło się spotkanie informacyjn</w:t>
      </w:r>
      <w:r w:rsidR="0085790E">
        <w:t>o-konsultacyjne</w:t>
      </w:r>
      <w:r w:rsidR="001D42BD" w:rsidRPr="001D42BD">
        <w:t xml:space="preserve"> z udziałem </w:t>
      </w:r>
      <w:r w:rsidR="00F42478">
        <w:t>Wicem</w:t>
      </w:r>
      <w:r w:rsidR="001D42BD" w:rsidRPr="001D42BD">
        <w:t xml:space="preserve">arszałka Województwa Pomorskiego, podczas którego przedstawiono założenia dotyczące zmiany </w:t>
      </w:r>
      <w:r w:rsidR="0085790E">
        <w:t>P</w:t>
      </w:r>
      <w:r w:rsidR="001D42BD" w:rsidRPr="001D42BD">
        <w:t>rogramu, w tym w szczególności nowe obszary interwencji wynikające z drugiego etapu przeglądu śródokresowego.</w:t>
      </w:r>
      <w:r w:rsidR="001D42BD">
        <w:t xml:space="preserve"> </w:t>
      </w:r>
      <w:r w:rsidR="001D42BD" w:rsidRPr="001D42BD">
        <w:t>Odbył</w:t>
      </w:r>
      <w:r w:rsidR="00DA0516">
        <w:t>y</w:t>
      </w:r>
      <w:r w:rsidR="001D42BD" w:rsidRPr="001D42BD">
        <w:t xml:space="preserve"> się także robocze spotkani</w:t>
      </w:r>
      <w:r w:rsidR="00DA0516">
        <w:t xml:space="preserve">a </w:t>
      </w:r>
      <w:r w:rsidR="001D42BD" w:rsidRPr="001D42BD">
        <w:t>informacyjn</w:t>
      </w:r>
      <w:r w:rsidR="0085790E">
        <w:t>o-konsultacyjne z poszczególnymi Związkami ZIT</w:t>
      </w:r>
      <w:r w:rsidR="001D42BD" w:rsidRPr="001D42BD">
        <w:t xml:space="preserve"> w sprawie zmiany FEP 2021-2027 (</w:t>
      </w:r>
      <w:r w:rsidR="001D42BD">
        <w:t>24 października, 30 października</w:t>
      </w:r>
      <w:r w:rsidR="003A1476">
        <w:t xml:space="preserve"> oraz </w:t>
      </w:r>
      <w:r w:rsidR="001D42BD">
        <w:t>3 listopada 2025 r.).</w:t>
      </w:r>
    </w:p>
    <w:p w:rsidR="00A60C9D" w:rsidRDefault="00A60C9D" w:rsidP="00A60C9D">
      <w:pPr>
        <w:spacing w:line="360" w:lineRule="auto"/>
      </w:pPr>
    </w:p>
    <w:p w:rsidR="00435417" w:rsidRDefault="00727D95" w:rsidP="0011433A">
      <w:pPr>
        <w:spacing w:line="360" w:lineRule="auto"/>
        <w:sectPr w:rsidR="00435417" w:rsidSect="00727D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331083" w:rsidRPr="005805DB" w:rsidRDefault="00435417" w:rsidP="00983FEE">
      <w:pPr>
        <w:pStyle w:val="Nagwek2"/>
        <w:rPr>
          <w:sz w:val="26"/>
        </w:rPr>
      </w:pPr>
      <w:bookmarkStart w:id="3" w:name="_Toc214017468"/>
      <w:r w:rsidRPr="005805DB">
        <w:rPr>
          <w:sz w:val="26"/>
        </w:rPr>
        <w:lastRenderedPageBreak/>
        <w:t xml:space="preserve">Załącznik 1. </w:t>
      </w:r>
      <w:r w:rsidR="001D42BD">
        <w:rPr>
          <w:sz w:val="26"/>
        </w:rPr>
        <w:t>Uwagi zgłoszone</w:t>
      </w:r>
      <w:r w:rsidRPr="005805DB">
        <w:rPr>
          <w:sz w:val="26"/>
        </w:rPr>
        <w:t xml:space="preserve"> w ramach konsultacji społecznych</w:t>
      </w:r>
      <w:r w:rsidR="001D42BD">
        <w:rPr>
          <w:sz w:val="26"/>
        </w:rPr>
        <w:t xml:space="preserve"> i sposób ich rozstrzygnięcia</w:t>
      </w:r>
      <w:bookmarkEnd w:id="3"/>
      <w:r w:rsidR="001D42BD">
        <w:rPr>
          <w:sz w:val="26"/>
        </w:rPr>
        <w:t xml:space="preserve"> </w:t>
      </w:r>
    </w:p>
    <w:tbl>
      <w:tblPr>
        <w:tblStyle w:val="Tabelalisty1jasnaakcent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293"/>
        <w:gridCol w:w="851"/>
        <w:gridCol w:w="4536"/>
        <w:gridCol w:w="3543"/>
        <w:gridCol w:w="1701"/>
        <w:gridCol w:w="2552"/>
      </w:tblGrid>
      <w:tr w:rsidR="00F3272D" w:rsidRPr="00633010" w:rsidTr="00EB0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bottom w:val="none" w:sz="0" w:space="0" w:color="auto"/>
            </w:tcBorders>
          </w:tcPr>
          <w:p w:rsidR="00435417" w:rsidRPr="00633010" w:rsidRDefault="00435417" w:rsidP="00633010">
            <w:pPr>
              <w:rPr>
                <w:rFonts w:cstheme="minorHAnsi"/>
                <w:sz w:val="20"/>
                <w:szCs w:val="20"/>
              </w:rPr>
            </w:pPr>
            <w:bookmarkStart w:id="4" w:name="_Hlk190760672"/>
            <w:r w:rsidRPr="00633010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1293" w:type="dxa"/>
            <w:tcBorders>
              <w:bottom w:val="none" w:sz="0" w:space="0" w:color="auto"/>
            </w:tcBorders>
          </w:tcPr>
          <w:p w:rsidR="00644E13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Osoba/</w:t>
            </w:r>
          </w:p>
          <w:p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Podmiot</w:t>
            </w:r>
          </w:p>
        </w:tc>
        <w:tc>
          <w:tcPr>
            <w:tcW w:w="851" w:type="dxa"/>
            <w:tcBorders>
              <w:bottom w:val="none" w:sz="0" w:space="0" w:color="auto"/>
            </w:tcBorders>
          </w:tcPr>
          <w:p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Strona</w:t>
            </w:r>
          </w:p>
        </w:tc>
        <w:tc>
          <w:tcPr>
            <w:tcW w:w="4536" w:type="dxa"/>
            <w:tcBorders>
              <w:bottom w:val="none" w:sz="0" w:space="0" w:color="auto"/>
            </w:tcBorders>
          </w:tcPr>
          <w:p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Treść uwagi/Uzasadnienie propozycji modyfikacji/ Komentarz</w:t>
            </w:r>
          </w:p>
        </w:tc>
        <w:tc>
          <w:tcPr>
            <w:tcW w:w="3543" w:type="dxa"/>
            <w:tcBorders>
              <w:bottom w:val="none" w:sz="0" w:space="0" w:color="auto"/>
            </w:tcBorders>
          </w:tcPr>
          <w:p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Propozycja modyfikacji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Rozstrzygnięcie uwagi</w:t>
            </w:r>
          </w:p>
        </w:tc>
        <w:tc>
          <w:tcPr>
            <w:tcW w:w="2552" w:type="dxa"/>
            <w:tcBorders>
              <w:bottom w:val="none" w:sz="0" w:space="0" w:color="auto"/>
            </w:tcBorders>
          </w:tcPr>
          <w:p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bookmarkEnd w:id="4"/>
      <w:tr w:rsidR="00BC48DF" w:rsidRPr="00633010" w:rsidTr="00EB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BC48DF" w:rsidRPr="00633010" w:rsidRDefault="00BC48DF" w:rsidP="00BC48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BC48DF" w:rsidRPr="0085790E" w:rsidRDefault="00BC48DF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85790E">
              <w:rPr>
                <w:rFonts w:cstheme="minorHAnsi"/>
                <w:sz w:val="20"/>
                <w:szCs w:val="20"/>
                <w:lang w:val="en-GB"/>
              </w:rPr>
              <w:t>Innovative Solutions Sp. z o.o.</w:t>
            </w:r>
          </w:p>
        </w:tc>
        <w:tc>
          <w:tcPr>
            <w:tcW w:w="851" w:type="dxa"/>
          </w:tcPr>
          <w:p w:rsidR="00BC48DF" w:rsidRPr="00633010" w:rsidRDefault="00BC48DF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BC48DF" w:rsidRPr="00BC48DF" w:rsidRDefault="00BC48DF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BC48DF">
              <w:rPr>
                <w:rFonts w:ascii="Calibri" w:hAnsi="Calibri" w:cs="Calibri"/>
                <w:sz w:val="20"/>
              </w:rPr>
              <w:t xml:space="preserve">Doświadczenia ukraińskie jasno wskazują, że szkolenie oraz wyposażenie personelu technicznego w środki ochrony osobistej jest kluczowe dla zmniejszenia strat wśród ekip remontowych. Straty ludzkie, tych grupach zawodowych są bardzo ciężkie do odtworzenia co utrudnia zachowanie ciągłości działania danego Regionu. </w:t>
            </w:r>
          </w:p>
          <w:p w:rsidR="00BC48DF" w:rsidRPr="00BC48DF" w:rsidRDefault="00BC48DF" w:rsidP="00C43B8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BC48DF">
              <w:rPr>
                <w:rFonts w:ascii="Calibri" w:hAnsi="Calibri" w:cs="Calibri"/>
                <w:sz w:val="20"/>
              </w:rPr>
              <w:t xml:space="preserve">Ponadto konieczne są działania na rzecz zapewnienia ciągłości działania przedmiotowej infrastruktury poprzez zapewnienie łańcuchów dostaw na czas W. </w:t>
            </w:r>
          </w:p>
          <w:p w:rsidR="00BC48DF" w:rsidRPr="00BC48DF" w:rsidRDefault="00BC48DF" w:rsidP="00C43B8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C48DF">
              <w:rPr>
                <w:rFonts w:ascii="Calibri" w:hAnsi="Calibri" w:cs="Calibri"/>
                <w:sz w:val="20"/>
              </w:rPr>
              <w:t>Konieczna jest zmiana podejścia systemowego do bezpieczeństwa przedmiotowej infrastruktury. Obecnie wskazane wyżej tematy są absolutnie pomijane w debacie publicznej.</w:t>
            </w:r>
          </w:p>
        </w:tc>
        <w:tc>
          <w:tcPr>
            <w:tcW w:w="3543" w:type="dxa"/>
          </w:tcPr>
          <w:p w:rsidR="00BC48DF" w:rsidRPr="00BC48DF" w:rsidRDefault="00BC48DF" w:rsidP="00BC48D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48DF">
              <w:rPr>
                <w:rFonts w:cstheme="minorHAnsi"/>
                <w:sz w:val="20"/>
                <w:szCs w:val="20"/>
              </w:rPr>
              <w:t>Dodanie podpunktów o treści:</w:t>
            </w:r>
          </w:p>
          <w:p w:rsidR="00BC48DF" w:rsidRPr="00BC48DF" w:rsidRDefault="00BC48DF" w:rsidP="00BC48DF">
            <w:pPr>
              <w:pStyle w:val="Akapitzlist"/>
              <w:numPr>
                <w:ilvl w:val="0"/>
                <w:numId w:val="1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48DF">
              <w:rPr>
                <w:rFonts w:cstheme="minorHAnsi"/>
                <w:sz w:val="20"/>
                <w:szCs w:val="20"/>
              </w:rPr>
              <w:t>Konieczne jest wsparcie działań na rzecz zachowania ciągłości działania operatorów infrastruktury krytycznej i infrastruktury krytycznej lokalnie, poprzez wsparcie działań na rzecz zabezpieczenia sprzętowego i szkoleniowego zespołów technicznych, odpowiedzialnych za usuwanie zniszczeń w/w infrastruktury wywołanej działaniami dywersyjnymi i wojennymi.</w:t>
            </w:r>
          </w:p>
          <w:p w:rsidR="00BC48DF" w:rsidRPr="00BC48DF" w:rsidRDefault="00BC48DF" w:rsidP="00C43B89">
            <w:pPr>
              <w:pStyle w:val="Akapitzlist"/>
              <w:numPr>
                <w:ilvl w:val="0"/>
                <w:numId w:val="13"/>
              </w:numPr>
              <w:spacing w:before="120" w:after="60"/>
              <w:ind w:left="35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C48DF">
              <w:rPr>
                <w:rFonts w:cstheme="minorHAnsi"/>
                <w:sz w:val="20"/>
                <w:szCs w:val="20"/>
              </w:rPr>
              <w:t>Konieczne jest wsparcie działań na rzecz zachowania ciągłości działania operatorów infrastruktury krytycznej i infrastruktury krytycznej lokalnie, poprzez podjęcie  działań na rzecz zabezpieczenia materiałowego i logistycznego.</w:t>
            </w:r>
          </w:p>
        </w:tc>
        <w:tc>
          <w:tcPr>
            <w:tcW w:w="1701" w:type="dxa"/>
          </w:tcPr>
          <w:p w:rsidR="00BC48DF" w:rsidRPr="00633010" w:rsidRDefault="00BC48DF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Uwaga uwzględniona</w:t>
            </w:r>
          </w:p>
        </w:tc>
        <w:tc>
          <w:tcPr>
            <w:tcW w:w="2552" w:type="dxa"/>
          </w:tcPr>
          <w:p w:rsidR="004D4271" w:rsidRDefault="00CD5D6B" w:rsidP="004E488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Uwaga została uwzględniona, jednak</w:t>
            </w:r>
            <w:r w:rsidR="00224824">
              <w:rPr>
                <w:rFonts w:cstheme="minorHAnsi"/>
              </w:rPr>
              <w:t>że limit znaków dla Strategii Programu nie pozwala na ujęcie w tej części dokumentu dodatkowej treści.</w:t>
            </w:r>
            <w:r>
              <w:rPr>
                <w:rFonts w:cstheme="minorHAnsi"/>
              </w:rPr>
              <w:t xml:space="preserve"> </w:t>
            </w:r>
            <w:r w:rsidR="004E488E">
              <w:rPr>
                <w:rFonts w:cstheme="minorHAnsi"/>
              </w:rPr>
              <w:t>Jednakże z</w:t>
            </w:r>
            <w:r w:rsidR="00483839">
              <w:rPr>
                <w:rFonts w:cstheme="minorHAnsi"/>
              </w:rPr>
              <w:t>aproponowan</w:t>
            </w:r>
            <w:r w:rsidR="00224824">
              <w:rPr>
                <w:rFonts w:cstheme="minorHAnsi"/>
              </w:rPr>
              <w:t xml:space="preserve">e działania </w:t>
            </w:r>
            <w:r w:rsidR="004E488E" w:rsidRPr="004E488E">
              <w:rPr>
                <w:rFonts w:cstheme="minorHAnsi"/>
              </w:rPr>
              <w:t xml:space="preserve">– w szczególności dotyczące potrzeby szkolenia oraz odpowiedniego zabezpieczenia infrastruktury kluczowej dla gotowości cywilnej i ochrony ludności – </w:t>
            </w:r>
            <w:r w:rsidR="002E26D9">
              <w:rPr>
                <w:rFonts w:cstheme="minorHAnsi"/>
              </w:rPr>
              <w:t>zostały</w:t>
            </w:r>
            <w:r w:rsidR="004E488E" w:rsidRPr="004E488E">
              <w:rPr>
                <w:rFonts w:cstheme="minorHAnsi"/>
              </w:rPr>
              <w:t xml:space="preserve"> ujęte w Programie, w nowy</w:t>
            </w:r>
            <w:r w:rsidR="004E488E">
              <w:rPr>
                <w:rFonts w:cstheme="minorHAnsi"/>
              </w:rPr>
              <w:t>m Priorytecie 12, cel szczegółowy 3(iii) oraz w Priorytecie 1</w:t>
            </w:r>
            <w:r w:rsidR="004E488E" w:rsidRPr="004E488E">
              <w:rPr>
                <w:rFonts w:cstheme="minorHAnsi"/>
              </w:rPr>
              <w:t>4</w:t>
            </w:r>
            <w:r w:rsidR="004E488E">
              <w:rPr>
                <w:rFonts w:cstheme="minorHAnsi"/>
              </w:rPr>
              <w:t>, cel szczegółowy 4</w:t>
            </w:r>
            <w:r w:rsidR="004E488E" w:rsidRPr="004E488E">
              <w:rPr>
                <w:rFonts w:cstheme="minorHAnsi"/>
              </w:rPr>
              <w:t>(d).</w:t>
            </w:r>
            <w:r w:rsidR="004E488E">
              <w:rPr>
                <w:rFonts w:cstheme="minorHAnsi"/>
              </w:rPr>
              <w:t xml:space="preserve"> </w:t>
            </w:r>
          </w:p>
          <w:p w:rsidR="004D4271" w:rsidRDefault="004D4271" w:rsidP="004E488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D4271" w:rsidRDefault="004E488E" w:rsidP="004E488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488E">
              <w:rPr>
                <w:rFonts w:cstheme="minorHAnsi"/>
              </w:rPr>
              <w:t xml:space="preserve">W obszarze infrastruktury kluczowej interwencja Programu przewiduje m.in. </w:t>
            </w:r>
            <w:r w:rsidR="004D4271">
              <w:rPr>
                <w:rFonts w:cstheme="minorHAnsi"/>
              </w:rPr>
              <w:t xml:space="preserve">realizacje projektów </w:t>
            </w:r>
            <w:r w:rsidR="004D4271" w:rsidRPr="004D4271">
              <w:rPr>
                <w:rFonts w:cstheme="minorHAnsi"/>
              </w:rPr>
              <w:t>wzmacniają</w:t>
            </w:r>
            <w:r w:rsidR="004D4271">
              <w:rPr>
                <w:rFonts w:cstheme="minorHAnsi"/>
              </w:rPr>
              <w:t>cych</w:t>
            </w:r>
            <w:r w:rsidR="004D4271" w:rsidRPr="004D4271">
              <w:rPr>
                <w:rFonts w:cstheme="minorHAnsi"/>
              </w:rPr>
              <w:t xml:space="preserve"> bezpieczeństwo systemów informacyjnych/informatycznych, w tym pozyskanie: niezbędnej infrastruktury, oprogramowania, usług i wiedzy </w:t>
            </w:r>
            <w:r w:rsidR="004D4271">
              <w:rPr>
                <w:rFonts w:cstheme="minorHAnsi"/>
              </w:rPr>
              <w:t xml:space="preserve">oraz </w:t>
            </w:r>
            <w:r w:rsidRPr="004E488E">
              <w:rPr>
                <w:rFonts w:cstheme="minorHAnsi"/>
              </w:rPr>
              <w:t xml:space="preserve">realizację </w:t>
            </w:r>
            <w:r w:rsidRPr="004E488E">
              <w:rPr>
                <w:rFonts w:cstheme="minorHAnsi"/>
              </w:rPr>
              <w:lastRenderedPageBreak/>
              <w:t>projektów w zakresie infrastruktury wrażliwej, służąc</w:t>
            </w:r>
            <w:r w:rsidR="003A1476">
              <w:rPr>
                <w:rFonts w:cstheme="minorHAnsi"/>
              </w:rPr>
              <w:t>ych</w:t>
            </w:r>
            <w:r w:rsidRPr="004E488E">
              <w:rPr>
                <w:rFonts w:cstheme="minorHAnsi"/>
              </w:rPr>
              <w:t xml:space="preserve"> zapewnieniu ciągłości funkcjonowania podmiotów leczniczych w sytuacjach kryzysowych</w:t>
            </w:r>
            <w:r w:rsidR="004D4271">
              <w:rPr>
                <w:rFonts w:cstheme="minorHAnsi"/>
              </w:rPr>
              <w:t xml:space="preserve">. </w:t>
            </w:r>
          </w:p>
          <w:p w:rsidR="004D4271" w:rsidRDefault="004D4271" w:rsidP="004E488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E488E" w:rsidRDefault="004D4271" w:rsidP="004E488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Ponadto Program przewiduje </w:t>
            </w:r>
            <w:r w:rsidR="004E488E" w:rsidRPr="004E488E">
              <w:rPr>
                <w:rFonts w:cstheme="minorHAnsi"/>
              </w:rPr>
              <w:t xml:space="preserve">rozwój infrastruktury drogowej, w tym terenów inwestycyjnych, terminali intermodalnych oraz wzmocnienie bezpieczeństwa systemów informatycznych, w tym infrastruktury i oprogramowania. </w:t>
            </w:r>
          </w:p>
          <w:p w:rsidR="003A1476" w:rsidRDefault="003A1476" w:rsidP="004D4271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D4271" w:rsidRDefault="003A1476" w:rsidP="004D4271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Ponadto, n</w:t>
            </w:r>
            <w:r w:rsidR="004D4271">
              <w:rPr>
                <w:rFonts w:cstheme="minorHAnsi"/>
              </w:rPr>
              <w:t xml:space="preserve">owy Priorytet 11, cel szczegółowy 2(v) przewiduje wsparcie </w:t>
            </w:r>
            <w:r w:rsidR="004D4271" w:rsidRPr="00224824">
              <w:rPr>
                <w:rFonts w:cstheme="minorHAnsi"/>
              </w:rPr>
              <w:t>działa</w:t>
            </w:r>
            <w:r w:rsidR="004D4271">
              <w:rPr>
                <w:rFonts w:cstheme="minorHAnsi"/>
              </w:rPr>
              <w:t>ń</w:t>
            </w:r>
            <w:r w:rsidR="004D4271" w:rsidRPr="00224824">
              <w:rPr>
                <w:rFonts w:cstheme="minorHAnsi"/>
              </w:rPr>
              <w:t xml:space="preserve"> mając</w:t>
            </w:r>
            <w:r w:rsidR="004D4271">
              <w:rPr>
                <w:rFonts w:cstheme="minorHAnsi"/>
              </w:rPr>
              <w:t>ych</w:t>
            </w:r>
            <w:r w:rsidR="004D4271" w:rsidRPr="00224824">
              <w:rPr>
                <w:rFonts w:cstheme="minorHAnsi"/>
              </w:rPr>
              <w:t xml:space="preserve"> na celu poprawę bezpieczeństwa dostaw wody, w tym funkcjonowania infrastruktury dotyczącej poboru i uzdatniania wody pitnej m.in. przed atakami sabotażowymi</w:t>
            </w:r>
            <w:r w:rsidR="004D4271">
              <w:rPr>
                <w:rFonts w:cstheme="minorHAnsi"/>
              </w:rPr>
              <w:t>. M</w:t>
            </w:r>
            <w:r w:rsidR="004D4271" w:rsidRPr="00224824">
              <w:rPr>
                <w:rFonts w:cstheme="minorHAnsi"/>
              </w:rPr>
              <w:t xml:space="preserve">ożliwe także będzie wsparcie projektów w zakresie monitoringu ilościowego i jakościowego wód podziemnych i </w:t>
            </w:r>
            <w:r w:rsidR="004D4271" w:rsidRPr="00224824">
              <w:rPr>
                <w:rFonts w:cstheme="minorHAnsi"/>
              </w:rPr>
              <w:lastRenderedPageBreak/>
              <w:t>powierzchniowych przeznaczonych do spożycia oraz prognozowania zagrożeń w wodach podziemnych.</w:t>
            </w:r>
          </w:p>
          <w:p w:rsidR="004E488E" w:rsidRPr="004E488E" w:rsidRDefault="004E488E" w:rsidP="004E488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D4271" w:rsidRPr="004D4271" w:rsidRDefault="004E488E" w:rsidP="004D4271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488E">
              <w:rPr>
                <w:rFonts w:cstheme="minorHAnsi"/>
              </w:rPr>
              <w:t>W zakresie działań szkoleniowych</w:t>
            </w:r>
            <w:r w:rsidR="004D4271">
              <w:rPr>
                <w:rFonts w:cstheme="minorHAnsi"/>
              </w:rPr>
              <w:t xml:space="preserve"> możliwe będą działania służące </w:t>
            </w:r>
            <w:r w:rsidR="004D4271" w:rsidRPr="004D4271">
              <w:rPr>
                <w:rFonts w:cstheme="minorHAnsi"/>
              </w:rPr>
              <w:t>podnoszeni</w:t>
            </w:r>
            <w:r w:rsidR="004D4271">
              <w:rPr>
                <w:rFonts w:cstheme="minorHAnsi"/>
              </w:rPr>
              <w:t>u</w:t>
            </w:r>
            <w:r w:rsidR="004D4271" w:rsidRPr="004D4271">
              <w:rPr>
                <w:rFonts w:cstheme="minorHAnsi"/>
              </w:rPr>
              <w:t xml:space="preserve"> umiejętności i/lub kompetencji</w:t>
            </w:r>
            <w:r w:rsidR="004D4271">
              <w:rPr>
                <w:rFonts w:cstheme="minorHAnsi"/>
              </w:rPr>
              <w:t xml:space="preserve"> (</w:t>
            </w:r>
            <w:r w:rsidR="004D4271" w:rsidRPr="004D4271">
              <w:rPr>
                <w:rFonts w:cstheme="minorHAnsi"/>
              </w:rPr>
              <w:t>w szczególności poprzez szkolenia, doradztwo i warsztaty</w:t>
            </w:r>
            <w:r w:rsidR="004D4271">
              <w:rPr>
                <w:rFonts w:cstheme="minorHAnsi"/>
              </w:rPr>
              <w:t xml:space="preserve">) </w:t>
            </w:r>
            <w:r w:rsidR="004D4271" w:rsidRPr="004D4271">
              <w:rPr>
                <w:rFonts w:cstheme="minorHAnsi"/>
              </w:rPr>
              <w:t>w nastę</w:t>
            </w:r>
            <w:r w:rsidR="004D4271">
              <w:rPr>
                <w:rFonts w:cstheme="minorHAnsi"/>
              </w:rPr>
              <w:t xml:space="preserve">pujących obszarach: </w:t>
            </w:r>
          </w:p>
          <w:p w:rsidR="004D4271" w:rsidRPr="004D4271" w:rsidRDefault="004D4271" w:rsidP="004D4271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4271">
              <w:rPr>
                <w:rFonts w:cstheme="minorHAnsi"/>
              </w:rPr>
              <w:t>a) zapewnienie ciągłości działania w sytuacjach kryzysowych,</w:t>
            </w:r>
          </w:p>
          <w:p w:rsidR="004D4271" w:rsidRPr="004D4271" w:rsidRDefault="004D4271" w:rsidP="004D4271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4271">
              <w:rPr>
                <w:rFonts w:cstheme="minorHAnsi"/>
              </w:rPr>
              <w:t>b) zagadnienia związane z gotowością cywilną, sektorem przemysłu obronnego oraz technologiami i kompetencjami podwójnego zastosowania.</w:t>
            </w:r>
          </w:p>
          <w:p w:rsidR="004D4271" w:rsidRDefault="004D4271" w:rsidP="004D4271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E03B04" w:rsidRDefault="004D4271" w:rsidP="00BC48DF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4D4271">
              <w:rPr>
                <w:rFonts w:cstheme="minorHAnsi"/>
              </w:rPr>
              <w:t xml:space="preserve">nterwencja będzie </w:t>
            </w:r>
            <w:r w:rsidR="00CC35AE">
              <w:rPr>
                <w:rFonts w:cstheme="minorHAnsi"/>
              </w:rPr>
              <w:t>również</w:t>
            </w:r>
            <w:r>
              <w:rPr>
                <w:rFonts w:cstheme="minorHAnsi"/>
              </w:rPr>
              <w:t xml:space="preserve"> </w:t>
            </w:r>
            <w:r w:rsidRPr="004D4271">
              <w:rPr>
                <w:rFonts w:cstheme="minorHAnsi"/>
              </w:rPr>
              <w:t>obejmować sektor ochrony zdrowia oraz pracowników wykonujących zawody medyczne i paramedyczne</w:t>
            </w:r>
            <w:r>
              <w:rPr>
                <w:rFonts w:cstheme="minorHAnsi"/>
              </w:rPr>
              <w:t xml:space="preserve"> w postaci </w:t>
            </w:r>
            <w:r w:rsidRPr="004D4271">
              <w:rPr>
                <w:rFonts w:cstheme="minorHAnsi"/>
              </w:rPr>
              <w:t>wsparci</w:t>
            </w:r>
            <w:r>
              <w:rPr>
                <w:rFonts w:cstheme="minorHAnsi"/>
              </w:rPr>
              <w:t xml:space="preserve">a </w:t>
            </w:r>
            <w:r w:rsidRPr="004D4271">
              <w:rPr>
                <w:rFonts w:cstheme="minorHAnsi"/>
              </w:rPr>
              <w:t>działa</w:t>
            </w:r>
            <w:r>
              <w:rPr>
                <w:rFonts w:cstheme="minorHAnsi"/>
              </w:rPr>
              <w:t>ń</w:t>
            </w:r>
            <w:r w:rsidRPr="004D4271">
              <w:rPr>
                <w:rFonts w:cstheme="minorHAnsi"/>
              </w:rPr>
              <w:t xml:space="preserve"> na rzecz zwiększenia gotowości cywilnej, przygotowując</w:t>
            </w:r>
            <w:r>
              <w:rPr>
                <w:rFonts w:cstheme="minorHAnsi"/>
              </w:rPr>
              <w:t>ych</w:t>
            </w:r>
            <w:r w:rsidRPr="004D4271">
              <w:rPr>
                <w:rFonts w:cstheme="minorHAnsi"/>
              </w:rPr>
              <w:t xml:space="preserve"> do </w:t>
            </w:r>
            <w:r w:rsidRPr="004D4271">
              <w:rPr>
                <w:rFonts w:cstheme="minorHAnsi"/>
              </w:rPr>
              <w:lastRenderedPageBreak/>
              <w:t>skutecznego reagowania i działania w różnego rodzaju sytuacjach kryzysowych.</w:t>
            </w:r>
          </w:p>
          <w:p w:rsidR="00483839" w:rsidRDefault="00483839" w:rsidP="00BC48DF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83839" w:rsidRPr="00633010" w:rsidRDefault="00F42478" w:rsidP="00BC48DF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 związku z powyższym</w:t>
            </w:r>
            <w:r w:rsidR="00483839" w:rsidRPr="004838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choć przedstawione</w:t>
            </w:r>
            <w:r w:rsidR="00483839">
              <w:rPr>
                <w:rFonts w:cstheme="minorHAnsi"/>
              </w:rPr>
              <w:t xml:space="preserve"> </w:t>
            </w:r>
            <w:r w:rsidR="00483839" w:rsidRPr="00483839">
              <w:rPr>
                <w:rFonts w:cstheme="minorHAnsi"/>
              </w:rPr>
              <w:t xml:space="preserve">propozycje są merytorycznie zasadne, nie wymagają dodatkowego </w:t>
            </w:r>
            <w:r>
              <w:rPr>
                <w:rFonts w:cstheme="minorHAnsi"/>
              </w:rPr>
              <w:t>ujęcia</w:t>
            </w:r>
            <w:r w:rsidR="00483839" w:rsidRPr="00483839">
              <w:rPr>
                <w:rFonts w:cstheme="minorHAnsi"/>
              </w:rPr>
              <w:t xml:space="preserve"> w zaproponowanej formi</w:t>
            </w:r>
            <w:r w:rsidR="00483839">
              <w:rPr>
                <w:rFonts w:cstheme="minorHAnsi"/>
              </w:rPr>
              <w:t>e.</w:t>
            </w:r>
            <w:r w:rsidR="00CC35AE">
              <w:rPr>
                <w:rFonts w:cstheme="minorHAnsi"/>
              </w:rPr>
              <w:t xml:space="preserve"> Obecne zapisy Programu konsumują zgłoszone modyfikacje. </w:t>
            </w:r>
          </w:p>
        </w:tc>
      </w:tr>
      <w:tr w:rsidR="002832A7" w:rsidRPr="00633010" w:rsidTr="00EB0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2832A7" w:rsidRPr="00633010" w:rsidRDefault="002832A7" w:rsidP="00BC48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2832A7" w:rsidRPr="003A1476" w:rsidRDefault="00A33237" w:rsidP="00BC4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A1476">
              <w:rPr>
                <w:rFonts w:cstheme="minorHAnsi"/>
                <w:sz w:val="20"/>
                <w:szCs w:val="20"/>
              </w:rPr>
              <w:t>Pomorski Fundusz Pożyczkowy Sp. z o.o.</w:t>
            </w:r>
          </w:p>
        </w:tc>
        <w:tc>
          <w:tcPr>
            <w:tcW w:w="851" w:type="dxa"/>
          </w:tcPr>
          <w:p w:rsidR="002832A7" w:rsidRDefault="00A33237" w:rsidP="00BC4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4536" w:type="dxa"/>
          </w:tcPr>
          <w:p w:rsidR="002832A7" w:rsidRPr="00BC48DF" w:rsidRDefault="00A33237" w:rsidP="00A33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A33237">
              <w:rPr>
                <w:rFonts w:ascii="Calibri" w:hAnsi="Calibri" w:cs="Calibri"/>
                <w:sz w:val="20"/>
              </w:rPr>
              <w:t>Wprowadzenie umorzenia do 50% kapitału pożyczki podniesie konkurencyjność instrumentu m.in. wobec produktu BGK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A33237">
              <w:rPr>
                <w:rFonts w:ascii="Calibri" w:hAnsi="Calibri" w:cs="Calibri"/>
                <w:sz w:val="20"/>
              </w:rPr>
              <w:t>„Pożyczka na kształcenie” wdrażanego na poziomie krajowym oraz wprowadzi element „zachęty” dla Ostatecznego Odbiorcy do zawnioskowania o wsparcie zwrotne</w:t>
            </w:r>
          </w:p>
        </w:tc>
        <w:tc>
          <w:tcPr>
            <w:tcW w:w="3543" w:type="dxa"/>
          </w:tcPr>
          <w:p w:rsidR="002832A7" w:rsidRPr="00A33237" w:rsidRDefault="00A33237" w:rsidP="00A33237">
            <w:pPr>
              <w:pStyle w:val="Akapitzlist"/>
              <w:numPr>
                <w:ilvl w:val="0"/>
                <w:numId w:val="2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3237">
              <w:rPr>
                <w:rFonts w:cstheme="minorHAnsi"/>
                <w:sz w:val="20"/>
                <w:szCs w:val="20"/>
              </w:rPr>
              <w:t>finansowe (preferencyjny instrument dłużny z możliwością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33237">
              <w:rPr>
                <w:rFonts w:cstheme="minorHAnsi"/>
                <w:sz w:val="20"/>
                <w:szCs w:val="20"/>
              </w:rPr>
              <w:t>częściowego umorzenia kapitału pożyczki) – dla osób dorosłych, które chcą z własnej inicjatywy podnieść lub potwierdzić swoje kompetencje oraz nabyć kwalifikacje, bez ograniczeń co do przedmiotu i formy kształcenia;</w:t>
            </w:r>
          </w:p>
        </w:tc>
        <w:tc>
          <w:tcPr>
            <w:tcW w:w="1701" w:type="dxa"/>
          </w:tcPr>
          <w:p w:rsidR="002832A7" w:rsidRPr="00633010" w:rsidRDefault="00A33237" w:rsidP="00BC4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3237">
              <w:rPr>
                <w:rFonts w:cstheme="minorHAnsi"/>
                <w:sz w:val="20"/>
                <w:szCs w:val="20"/>
              </w:rPr>
              <w:t>Uwaga uwzględniona</w:t>
            </w:r>
          </w:p>
        </w:tc>
        <w:tc>
          <w:tcPr>
            <w:tcW w:w="2552" w:type="dxa"/>
          </w:tcPr>
          <w:p w:rsidR="002832A7" w:rsidRDefault="003A1476" w:rsidP="004E488E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Zapisy zostaną uwzględnione w treści Programu. </w:t>
            </w:r>
          </w:p>
        </w:tc>
      </w:tr>
      <w:tr w:rsidR="00D73FCE" w:rsidRPr="00633010" w:rsidTr="00EB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D73FCE" w:rsidRPr="00633010" w:rsidRDefault="00D73FCE" w:rsidP="00BC48D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D73FCE" w:rsidRPr="003A1476" w:rsidRDefault="00D73FCE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3FCE">
              <w:rPr>
                <w:rFonts w:cstheme="minorHAnsi"/>
                <w:sz w:val="20"/>
                <w:szCs w:val="20"/>
              </w:rPr>
              <w:t>Stowarzyszenia „Strefa Przybrzeżna”</w:t>
            </w:r>
          </w:p>
        </w:tc>
        <w:tc>
          <w:tcPr>
            <w:tcW w:w="851" w:type="dxa"/>
          </w:tcPr>
          <w:p w:rsidR="00D73FCE" w:rsidRDefault="00D73FCE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:rsidR="00D73FCE" w:rsidRPr="00D73FCE" w:rsidRDefault="00D73FCE" w:rsidP="00D73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D73FCE">
              <w:rPr>
                <w:rFonts w:ascii="Calibri" w:hAnsi="Calibri" w:cs="Calibri"/>
                <w:sz w:val="20"/>
              </w:rPr>
              <w:t xml:space="preserve">Stowarzyszenie „Strefa Przybrzeżna” wyraża poparcie dla realizacji przedsięwzięcia Pomorska Strefa Uzdrowiskowa. W przyjętym przez Zarząd Województwa Pomorskiego projekcie zmiany programu Fundusze Europejskie dla Pomorza 2021-2027 (FEP 2021-2027) nadal ujęte jest Przedsięwzięcie Strategiczne Pomorska Strefa Uzdrowiskowa, zakładające realizację parków zdrowia w wybranych gminach województwa pomorskiego. Niestety nasze zaniepokojenie wywołało nieujęcie przedsięwzięcia w najnowszej aktualizacji Harmonogramu naborów wniosków o </w:t>
            </w:r>
            <w:r w:rsidRPr="00D73FCE">
              <w:rPr>
                <w:rFonts w:ascii="Calibri" w:hAnsi="Calibri" w:cs="Calibri"/>
                <w:sz w:val="20"/>
              </w:rPr>
              <w:lastRenderedPageBreak/>
              <w:t>dofinansowanie w ramach programu regionalnego Fundusze Europejskie dla Pomorza 2021-2027 (w wersji z dnia 23 października 2025 roku).</w:t>
            </w:r>
          </w:p>
          <w:p w:rsidR="00D73FCE" w:rsidRPr="00D73FCE" w:rsidRDefault="00D73FCE" w:rsidP="00D73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D73FCE">
              <w:rPr>
                <w:rFonts w:ascii="Calibri" w:hAnsi="Calibri" w:cs="Calibri"/>
                <w:sz w:val="20"/>
              </w:rPr>
              <w:t>Realizacja projektów w ramach przedsięwzięcia Pomorska Strefa Uzdrowiskowa jest bardzo ważne dla całego Obszaru Funkcjonalnego Strefa Przybrzeżna – część zachodnia. Inwestycje w miastach Ustka i Łeba, będące częścią przedsięwzięcia, pomogą zrealizować cel strategiczny „Wysokiej jakości oferta turystyczna” wskazany w strategii terytorialnej obszaru funkcjonalnego „Strefa Przybrzeżna”.</w:t>
            </w:r>
          </w:p>
          <w:p w:rsidR="00D73FCE" w:rsidRPr="00A33237" w:rsidRDefault="00D73FCE" w:rsidP="00D73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D73FCE">
              <w:rPr>
                <w:rFonts w:ascii="Calibri" w:hAnsi="Calibri" w:cs="Calibri"/>
                <w:sz w:val="20"/>
              </w:rPr>
              <w:t>Aby przedsięwzięcie Pomorska Strefa Uzdrowiskowa mogło zostało zrealizowane prosimy o zabezpieczenie środków na ten cel oraz uwzględnienie dedykowanego powyższemu wsparciu konkursu w harmonogramie naboru wniosków o dofinansowanie.</w:t>
            </w:r>
          </w:p>
        </w:tc>
        <w:tc>
          <w:tcPr>
            <w:tcW w:w="3543" w:type="dxa"/>
          </w:tcPr>
          <w:p w:rsidR="00D73FCE" w:rsidRPr="00D73FCE" w:rsidRDefault="00D73FCE" w:rsidP="00D73FC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3FCE" w:rsidRPr="00A33237" w:rsidRDefault="00D73FCE" w:rsidP="00BC4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 dotyczy treści FEP</w:t>
            </w:r>
          </w:p>
        </w:tc>
        <w:tc>
          <w:tcPr>
            <w:tcW w:w="2552" w:type="dxa"/>
          </w:tcPr>
          <w:p w:rsidR="00D73FCE" w:rsidRPr="00D73FCE" w:rsidRDefault="00D73FCE" w:rsidP="00D73FC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3FCE">
              <w:rPr>
                <w:rFonts w:cstheme="minorHAnsi"/>
              </w:rPr>
              <w:t>Uwaga nie odnosi się bezpośrednio do treści Programu</w:t>
            </w:r>
            <w:r>
              <w:rPr>
                <w:rFonts w:cstheme="minorHAnsi"/>
              </w:rPr>
              <w:t xml:space="preserve">. </w:t>
            </w:r>
            <w:r w:rsidRPr="00D73FCE">
              <w:rPr>
                <w:rFonts w:cstheme="minorHAnsi"/>
              </w:rPr>
              <w:t xml:space="preserve">Należy podkreślić, że Program nie przesądza o wysokości budżetu przeznaczonego na poszczególne przedsięwzięcia ani o </w:t>
            </w:r>
            <w:r>
              <w:rPr>
                <w:rFonts w:cstheme="minorHAnsi"/>
              </w:rPr>
              <w:t>harmonogramie</w:t>
            </w:r>
            <w:r w:rsidRPr="00D73F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naborów wniosków o dofinansowanie.</w:t>
            </w:r>
          </w:p>
          <w:p w:rsidR="00D73FCE" w:rsidRPr="00D73FCE" w:rsidRDefault="00D73FCE" w:rsidP="00D73FC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73FCE" w:rsidRPr="00D73FCE" w:rsidRDefault="00D73FCE" w:rsidP="00D73FC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3FCE">
              <w:rPr>
                <w:rFonts w:cstheme="minorHAnsi"/>
              </w:rPr>
              <w:lastRenderedPageBreak/>
              <w:t>Z uwagi na konieczność dostosowania interwencji do nowych priorytetów, niezbędne było ograniczenie alokacji przeznaczonej na działania związane z turystyką. Jednocześnie warto zaznaczyć, że Przedsięwzięcie Strategiczne „Pomorska Strefa Uzdrowiskowa” pozostaje ujęte w Programie – znajduje się w części dokumentu stanowiącej Aneks 3</w:t>
            </w:r>
            <w:r>
              <w:rPr>
                <w:rFonts w:cstheme="minorHAnsi"/>
              </w:rPr>
              <w:t>.</w:t>
            </w:r>
          </w:p>
          <w:p w:rsidR="00D73FCE" w:rsidRPr="00D73FCE" w:rsidRDefault="00D73FCE" w:rsidP="00D73FC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D73FCE" w:rsidRDefault="00D73FCE" w:rsidP="00D73FC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3FCE">
              <w:rPr>
                <w:rFonts w:cstheme="minorHAnsi"/>
              </w:rPr>
              <w:t>W związku z powyższym, choć znaczenie przedsięwzięcia dla rozwoju obszaru funkcjonalnego „Strefa Przybrzeżna” jest dostrzegane, uwaga nie wymaga wprowadzania zmian w treści Programu.</w:t>
            </w:r>
          </w:p>
        </w:tc>
      </w:tr>
      <w:tr w:rsidR="00557D17" w:rsidRPr="00633010" w:rsidTr="00EB0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557D17" w:rsidRPr="00633010" w:rsidRDefault="00557D17" w:rsidP="00557D1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557D17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(1) </w:t>
            </w:r>
            <w:r w:rsidRPr="001D3596">
              <w:rPr>
                <w:rFonts w:cstheme="minorHAnsi"/>
                <w:sz w:val="20"/>
                <w:szCs w:val="20"/>
              </w:rPr>
              <w:t>Pomorski Park Naukowo-Technologiczny Gdynia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:rsidR="00557D17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557D17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(2) </w:t>
            </w:r>
            <w:r w:rsidRPr="001D3596">
              <w:rPr>
                <w:rFonts w:cstheme="minorHAnsi"/>
                <w:sz w:val="20"/>
                <w:szCs w:val="20"/>
              </w:rPr>
              <w:t>Gdański Uniwersytet Medyczny</w:t>
            </w:r>
          </w:p>
          <w:p w:rsidR="00557D17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557D17" w:rsidRPr="00D73FCE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557D17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4536" w:type="dxa"/>
          </w:tcPr>
          <w:p w:rsidR="00557D17" w:rsidRPr="00D73FCE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Nowa oś – BEZPIECZEŃSTWO i OBRONNOŚĆ powinna być realizowana z uwzględnieniem potencjału firm wpisujących się w ISP i Regionalne Agendy Badawcze. Projektowane działania powinny być komplementarne ze wsparciem w ramach przedsięwzięcia strategicznego „Smart Green Progress”, którego beneficjenci i grupa docelowa z powodzeniem może realizować projekty w zakresie dual-</w:t>
            </w:r>
            <w:proofErr w:type="spellStart"/>
            <w:r w:rsidRPr="001D3596">
              <w:rPr>
                <w:rFonts w:ascii="Calibri" w:hAnsi="Calibri" w:cs="Calibri"/>
                <w:sz w:val="20"/>
              </w:rPr>
              <w:t>use</w:t>
            </w:r>
            <w:proofErr w:type="spellEnd"/>
            <w:r w:rsidRPr="001D3596">
              <w:rPr>
                <w:rFonts w:ascii="Calibri" w:hAnsi="Calibri" w:cs="Calibri"/>
                <w:sz w:val="20"/>
              </w:rPr>
              <w:t xml:space="preserve">. Ważny katalog beneficjentów </w:t>
            </w:r>
            <w:r w:rsidRPr="001D3596">
              <w:rPr>
                <w:rFonts w:ascii="Calibri" w:hAnsi="Calibri" w:cs="Calibri"/>
                <w:sz w:val="20"/>
              </w:rPr>
              <w:lastRenderedPageBreak/>
              <w:t>uwzględniający również liderów RAB we wszystkich formach prawnych.</w:t>
            </w:r>
          </w:p>
        </w:tc>
        <w:tc>
          <w:tcPr>
            <w:tcW w:w="3543" w:type="dxa"/>
          </w:tcPr>
          <w:p w:rsidR="00557D17" w:rsidRPr="001D3596" w:rsidRDefault="00557D17" w:rsidP="00557D1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3596">
              <w:rPr>
                <w:rFonts w:cstheme="minorHAnsi"/>
                <w:sz w:val="20"/>
                <w:szCs w:val="20"/>
              </w:rPr>
              <w:lastRenderedPageBreak/>
              <w:t>Konieczne jest stworzenie optymalnych warunków dla rozwoju firm związanych z produkcją podwójnego zastosowania</w:t>
            </w:r>
            <w:r w:rsidRPr="00570E6D">
              <w:rPr>
                <w:rFonts w:cstheme="minorHAnsi"/>
                <w:sz w:val="20"/>
                <w:szCs w:val="20"/>
              </w:rPr>
              <w:t>, z wykorzystaniem potencjału ISP i RAB.</w:t>
            </w:r>
          </w:p>
        </w:tc>
        <w:tc>
          <w:tcPr>
            <w:tcW w:w="1701" w:type="dxa"/>
          </w:tcPr>
          <w:p w:rsidR="00557D17" w:rsidRDefault="00557D17" w:rsidP="00557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częściowo uwzględniona</w:t>
            </w:r>
          </w:p>
        </w:tc>
        <w:tc>
          <w:tcPr>
            <w:tcW w:w="2552" w:type="dxa"/>
          </w:tcPr>
          <w:p w:rsidR="00557D17" w:rsidRPr="00D73FCE" w:rsidRDefault="001A0007" w:rsidP="00557D17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W celach szczegółowych (i) i (iii) zostały dodane zapisy umożliwiające realizację projektów w obszarze </w:t>
            </w:r>
            <w:r w:rsidR="00290B9F" w:rsidRPr="00545EE7">
              <w:rPr>
                <w:rFonts w:cstheme="minorHAnsi"/>
              </w:rPr>
              <w:t xml:space="preserve">bezpieczeństwa i obronności </w:t>
            </w:r>
            <w:r w:rsidR="00290B9F">
              <w:rPr>
                <w:rFonts w:cstheme="minorHAnsi"/>
              </w:rPr>
              <w:t xml:space="preserve">z wykorzystaniem </w:t>
            </w:r>
            <w:r w:rsidR="00290B9F" w:rsidRPr="00545EE7">
              <w:rPr>
                <w:rFonts w:cstheme="minorHAnsi"/>
              </w:rPr>
              <w:t>technologi</w:t>
            </w:r>
            <w:r w:rsidR="00290B9F">
              <w:rPr>
                <w:rFonts w:cstheme="minorHAnsi"/>
              </w:rPr>
              <w:t>i i kompetencji</w:t>
            </w:r>
            <w:r w:rsidR="00290B9F" w:rsidRPr="00545EE7">
              <w:rPr>
                <w:rFonts w:cstheme="minorHAnsi"/>
              </w:rPr>
              <w:t xml:space="preserve"> podwójnego zastosowania</w:t>
            </w:r>
            <w:r>
              <w:rPr>
                <w:rFonts w:cstheme="minorHAnsi"/>
              </w:rPr>
              <w:t>.</w:t>
            </w:r>
            <w:r w:rsidR="00290B9F">
              <w:rPr>
                <w:rFonts w:cstheme="minorHAnsi"/>
              </w:rPr>
              <w:t xml:space="preserve"> </w:t>
            </w:r>
            <w:r w:rsidR="00557D17">
              <w:rPr>
                <w:rFonts w:cstheme="minorHAnsi"/>
              </w:rPr>
              <w:t>Nowy Priorytet</w:t>
            </w:r>
            <w:r w:rsidR="00290B9F">
              <w:rPr>
                <w:rFonts w:cstheme="minorHAnsi"/>
              </w:rPr>
              <w:t xml:space="preserve"> 1.7.</w:t>
            </w:r>
            <w:r w:rsidR="00557D17">
              <w:rPr>
                <w:rFonts w:cstheme="minorHAnsi"/>
              </w:rPr>
              <w:t xml:space="preserve"> </w:t>
            </w:r>
            <w:r w:rsidR="00557D17" w:rsidRPr="00590EB6">
              <w:rPr>
                <w:rFonts w:cstheme="minorHAnsi"/>
              </w:rPr>
              <w:t xml:space="preserve">Fundusze europejskie dla </w:t>
            </w:r>
            <w:r w:rsidR="00557D17" w:rsidRPr="00590EB6">
              <w:rPr>
                <w:rFonts w:cstheme="minorHAnsi"/>
              </w:rPr>
              <w:lastRenderedPageBreak/>
              <w:t>rozwoju technologii podwójnego zastosowania na Pomorzu</w:t>
            </w:r>
            <w:r w:rsidR="00557D17">
              <w:rPr>
                <w:rFonts w:cstheme="minorHAnsi"/>
              </w:rPr>
              <w:t xml:space="preserve">, realizowany będzie w oparciu o doświadczenia programu NATO DIANA. Możliwość wyboru i wsparcia technologii podwójnego zastosowania </w:t>
            </w:r>
            <w:r w:rsidR="00290B9F">
              <w:rPr>
                <w:rFonts w:cstheme="minorHAnsi"/>
              </w:rPr>
              <w:t>nie może być zawężana</w:t>
            </w:r>
            <w:r w:rsidR="00557D17">
              <w:rPr>
                <w:rFonts w:cstheme="minorHAnsi"/>
              </w:rPr>
              <w:t>, a p</w:t>
            </w:r>
            <w:r w:rsidR="00557D17" w:rsidRPr="00E435D5">
              <w:rPr>
                <w:rFonts w:cstheme="minorHAnsi"/>
              </w:rPr>
              <w:t xml:space="preserve">rocesy oceny i weryfikacji </w:t>
            </w:r>
            <w:r w:rsidR="00290B9F">
              <w:rPr>
                <w:rFonts w:cstheme="minorHAnsi"/>
              </w:rPr>
              <w:t xml:space="preserve">technologii </w:t>
            </w:r>
            <w:r w:rsidR="00557D17" w:rsidRPr="00E435D5">
              <w:rPr>
                <w:rFonts w:cstheme="minorHAnsi"/>
              </w:rPr>
              <w:t>baz</w:t>
            </w:r>
            <w:r w:rsidR="00557D17">
              <w:rPr>
                <w:rFonts w:cstheme="minorHAnsi"/>
              </w:rPr>
              <w:t>ować będą</w:t>
            </w:r>
            <w:r w:rsidR="00557D17" w:rsidRPr="00E435D5">
              <w:rPr>
                <w:rFonts w:cstheme="minorHAnsi"/>
              </w:rPr>
              <w:t xml:space="preserve"> na</w:t>
            </w:r>
            <w:r w:rsidR="00557D17">
              <w:rPr>
                <w:rFonts w:cstheme="minorHAnsi"/>
              </w:rPr>
              <w:t xml:space="preserve"> </w:t>
            </w:r>
            <w:r w:rsidR="00557D17" w:rsidRPr="00E435D5">
              <w:rPr>
                <w:rFonts w:cstheme="minorHAnsi"/>
              </w:rPr>
              <w:t>standardach wykorzystywanych przez NATO.</w:t>
            </w:r>
          </w:p>
        </w:tc>
      </w:tr>
      <w:tr w:rsidR="0008292A" w:rsidRPr="00633010" w:rsidTr="005F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08292A" w:rsidRPr="00633010" w:rsidRDefault="0008292A" w:rsidP="0008292A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08292A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(1) </w:t>
            </w:r>
            <w:r w:rsidRPr="001D3596">
              <w:rPr>
                <w:rFonts w:cstheme="minorHAnsi"/>
                <w:sz w:val="20"/>
                <w:szCs w:val="20"/>
              </w:rPr>
              <w:t>Pomorski Park Naukowo-Technologiczny Gdynia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:rsidR="0008292A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8292A" w:rsidRPr="00D73FCE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(2) </w:t>
            </w:r>
            <w:r w:rsidRPr="001D3596">
              <w:rPr>
                <w:rFonts w:cstheme="minorHAnsi"/>
                <w:sz w:val="20"/>
                <w:szCs w:val="20"/>
              </w:rPr>
              <w:t>Gdański Uniwersytet Medyczny</w:t>
            </w:r>
          </w:p>
        </w:tc>
        <w:tc>
          <w:tcPr>
            <w:tcW w:w="851" w:type="dxa"/>
            <w:vAlign w:val="center"/>
          </w:tcPr>
          <w:p w:rsidR="0008292A" w:rsidRPr="001D3596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3596">
              <w:rPr>
                <w:rFonts w:ascii="Calibri" w:hAnsi="Calibri" w:cs="Calibri"/>
                <w:sz w:val="20"/>
              </w:rPr>
              <w:t>51</w:t>
            </w:r>
          </w:p>
        </w:tc>
        <w:tc>
          <w:tcPr>
            <w:tcW w:w="4536" w:type="dxa"/>
          </w:tcPr>
          <w:p w:rsidR="0008292A" w:rsidRPr="001D3596" w:rsidRDefault="0008292A" w:rsidP="005F2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 xml:space="preserve">W ramach działań w zakresie cyfryzacji i cyberbezpieczeństwa koordynowanych przez SWP powinna być dostępna ścieżka, np. w drodze konkursu, dedykowana JST z województwa pomorskiego lub w zawężeniu do OM GGS. </w:t>
            </w:r>
          </w:p>
        </w:tc>
        <w:tc>
          <w:tcPr>
            <w:tcW w:w="3543" w:type="dxa"/>
          </w:tcPr>
          <w:p w:rsidR="0008292A" w:rsidRPr="00570E6D" w:rsidRDefault="0008292A" w:rsidP="005F279B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 xml:space="preserve">W ramach Celu przewiduje się realizację interwencji w sposób kompleksowy i koordynowany przez SWP, </w:t>
            </w:r>
            <w:r w:rsidRPr="001D3596">
              <w:rPr>
                <w:rFonts w:ascii="Calibri" w:hAnsi="Calibri" w:cs="Calibri"/>
                <w:sz w:val="20"/>
              </w:rPr>
              <w:br/>
              <w:t>z uwzględnieniem potrzeb w zakresie cyfryzacji i cyberbezpieczeństwa jednostek samorządu terytorialnego.</w:t>
            </w:r>
          </w:p>
        </w:tc>
        <w:tc>
          <w:tcPr>
            <w:tcW w:w="1701" w:type="dxa"/>
          </w:tcPr>
          <w:p w:rsidR="0008292A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 dotyczy treści FEP</w:t>
            </w:r>
          </w:p>
        </w:tc>
        <w:tc>
          <w:tcPr>
            <w:tcW w:w="2552" w:type="dxa"/>
          </w:tcPr>
          <w:p w:rsidR="0008292A" w:rsidRDefault="0008292A" w:rsidP="0008292A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73FCE">
              <w:rPr>
                <w:rFonts w:cstheme="minorHAnsi"/>
              </w:rPr>
              <w:t>Uwaga nie odnosi się bezpośrednio do treści Programu</w:t>
            </w:r>
            <w:r>
              <w:rPr>
                <w:rFonts w:cstheme="minorHAnsi"/>
              </w:rPr>
              <w:t xml:space="preserve">. </w:t>
            </w:r>
            <w:r w:rsidRPr="00D73FCE">
              <w:rPr>
                <w:rFonts w:cstheme="minorHAnsi"/>
              </w:rPr>
              <w:t xml:space="preserve">Należy podkreślić, że Program nie przesądza o </w:t>
            </w:r>
            <w:r w:rsidR="005A3B7E">
              <w:rPr>
                <w:rFonts w:cstheme="minorHAnsi"/>
              </w:rPr>
              <w:t>sposobie i zasadach realizacji przedsięwzięć strategicznych. Kwestie te przesądzone zostaną na poziomie Regionalnego Programu Strategicznego i dokumentów wdrożeniowych FEP.</w:t>
            </w:r>
          </w:p>
        </w:tc>
      </w:tr>
      <w:tr w:rsidR="0008292A" w:rsidRPr="00633010" w:rsidTr="0014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08292A" w:rsidRPr="00633010" w:rsidRDefault="0008292A" w:rsidP="0008292A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08292A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(1) </w:t>
            </w:r>
            <w:r w:rsidRPr="001D3596">
              <w:rPr>
                <w:rFonts w:cstheme="minorHAnsi"/>
                <w:sz w:val="20"/>
                <w:szCs w:val="20"/>
              </w:rPr>
              <w:t>Pomorski Park Naukowo-Technologiczny Gdynia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:rsidR="0008292A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8292A" w:rsidRPr="00D73FCE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(2) </w:t>
            </w:r>
            <w:r w:rsidRPr="001D3596">
              <w:rPr>
                <w:rFonts w:cstheme="minorHAnsi"/>
                <w:sz w:val="20"/>
                <w:szCs w:val="20"/>
              </w:rPr>
              <w:t>Gdański Uniwersytet Medyczny</w:t>
            </w:r>
          </w:p>
        </w:tc>
        <w:tc>
          <w:tcPr>
            <w:tcW w:w="851" w:type="dxa"/>
            <w:vAlign w:val="center"/>
          </w:tcPr>
          <w:p w:rsidR="0008292A" w:rsidRPr="001D3596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3596">
              <w:rPr>
                <w:rFonts w:ascii="Calibri" w:hAnsi="Calibri" w:cs="Calibri"/>
                <w:sz w:val="20"/>
              </w:rPr>
              <w:lastRenderedPageBreak/>
              <w:t>167</w:t>
            </w:r>
          </w:p>
        </w:tc>
        <w:tc>
          <w:tcPr>
            <w:tcW w:w="4536" w:type="dxa"/>
            <w:vAlign w:val="center"/>
          </w:tcPr>
          <w:p w:rsidR="0008292A" w:rsidRPr="001D3596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 xml:space="preserve">Nowa oś – BEZPIECZEŃSTWO i OBRONNOŚĆ powinna być realizowana z uwzględnieniem potencjału firm wpisujących się w ISP i Regionalne Agendy Badawcze. Projektowane działania powinny być komplementarne ze wsparciem w ramach przedsięwzięcia strategicznego „Smart Green </w:t>
            </w:r>
            <w:r w:rsidRPr="001D3596">
              <w:rPr>
                <w:rFonts w:ascii="Calibri" w:hAnsi="Calibri" w:cs="Calibri"/>
                <w:sz w:val="20"/>
              </w:rPr>
              <w:lastRenderedPageBreak/>
              <w:t>Progress”, którego beneficjenci i grupa docelowa z powodzeniem może realizować projekty w zakresie dual-</w:t>
            </w:r>
            <w:proofErr w:type="spellStart"/>
            <w:r w:rsidRPr="001D3596">
              <w:rPr>
                <w:rFonts w:ascii="Calibri" w:hAnsi="Calibri" w:cs="Calibri"/>
                <w:sz w:val="20"/>
              </w:rPr>
              <w:t>use</w:t>
            </w:r>
            <w:proofErr w:type="spellEnd"/>
            <w:r w:rsidRPr="001D3596">
              <w:rPr>
                <w:rFonts w:ascii="Calibri" w:hAnsi="Calibri" w:cs="Calibri"/>
                <w:sz w:val="20"/>
              </w:rPr>
              <w:t>. Ważny katalog beneficjentów uwzględniający również liderów RAB we wszystkich formach prawnych.</w:t>
            </w:r>
          </w:p>
        </w:tc>
        <w:tc>
          <w:tcPr>
            <w:tcW w:w="3543" w:type="dxa"/>
            <w:vAlign w:val="center"/>
          </w:tcPr>
          <w:p w:rsidR="0008292A" w:rsidRPr="001D3596" w:rsidRDefault="0008292A" w:rsidP="0008292A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lastRenderedPageBreak/>
              <w:t xml:space="preserve">W realizacji Celu wykorzystane zostaną doświadczenia z modelu weryfikacji, adaptacji i akceleracji technologii podwójnego zastosowania wypracowanego w ramach programu </w:t>
            </w:r>
            <w:r w:rsidRPr="001D3596">
              <w:rPr>
                <w:rFonts w:ascii="Calibri" w:hAnsi="Calibri" w:cs="Calibri"/>
                <w:sz w:val="20"/>
              </w:rPr>
              <w:lastRenderedPageBreak/>
              <w:t>NATO DIANA, z uwzględnieniem potencjału ISP i RAB.</w:t>
            </w:r>
          </w:p>
          <w:p w:rsidR="0008292A" w:rsidRPr="001D3596" w:rsidRDefault="0008292A" w:rsidP="0008292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292A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Uwaga częściowo uwzględniona</w:t>
            </w:r>
          </w:p>
        </w:tc>
        <w:tc>
          <w:tcPr>
            <w:tcW w:w="2552" w:type="dxa"/>
          </w:tcPr>
          <w:p w:rsidR="0008292A" w:rsidRPr="00D73FCE" w:rsidRDefault="0008292A" w:rsidP="0008292A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W celach szczegółowych (i) i (iii) zostały dodane zapisy umożliwiające realizację projektów w obszarze </w:t>
            </w:r>
            <w:r w:rsidRPr="00545EE7">
              <w:rPr>
                <w:rFonts w:cstheme="minorHAnsi"/>
              </w:rPr>
              <w:t xml:space="preserve">bezpieczeństwa i obronności </w:t>
            </w:r>
            <w:r>
              <w:rPr>
                <w:rFonts w:cstheme="minorHAnsi"/>
              </w:rPr>
              <w:t xml:space="preserve">z wykorzystaniem </w:t>
            </w:r>
            <w:r w:rsidRPr="00545EE7">
              <w:rPr>
                <w:rFonts w:cstheme="minorHAnsi"/>
              </w:rPr>
              <w:lastRenderedPageBreak/>
              <w:t>technologi</w:t>
            </w:r>
            <w:r>
              <w:rPr>
                <w:rFonts w:cstheme="minorHAnsi"/>
              </w:rPr>
              <w:t>i i kompetencji</w:t>
            </w:r>
            <w:r w:rsidRPr="00545EE7">
              <w:rPr>
                <w:rFonts w:cstheme="minorHAnsi"/>
              </w:rPr>
              <w:t xml:space="preserve"> podwójnego zastosowania</w:t>
            </w:r>
            <w:r>
              <w:rPr>
                <w:rFonts w:cstheme="minorHAnsi"/>
              </w:rPr>
              <w:t xml:space="preserve">. Nowy Priorytet 1.7. </w:t>
            </w:r>
            <w:r w:rsidRPr="00590EB6">
              <w:rPr>
                <w:rFonts w:cstheme="minorHAnsi"/>
              </w:rPr>
              <w:t>Fundusze europejskie dla rozwoju technologii podwójnego zastosowania na Pomorzu</w:t>
            </w:r>
            <w:r>
              <w:rPr>
                <w:rFonts w:cstheme="minorHAnsi"/>
              </w:rPr>
              <w:t>, realizowany będzie w oparciu o doświadczenia programu NATO DIANA. Możliwość wyboru i wsparcia technologii podwójnego zastosowania nie może być zawężana, a p</w:t>
            </w:r>
            <w:r w:rsidRPr="00E435D5">
              <w:rPr>
                <w:rFonts w:cstheme="minorHAnsi"/>
              </w:rPr>
              <w:t xml:space="preserve">rocesy oceny i weryfikacji </w:t>
            </w:r>
            <w:r>
              <w:rPr>
                <w:rFonts w:cstheme="minorHAnsi"/>
              </w:rPr>
              <w:t xml:space="preserve">technologii </w:t>
            </w:r>
            <w:r w:rsidRPr="00E435D5">
              <w:rPr>
                <w:rFonts w:cstheme="minorHAnsi"/>
              </w:rPr>
              <w:t>baz</w:t>
            </w:r>
            <w:r>
              <w:rPr>
                <w:rFonts w:cstheme="minorHAnsi"/>
              </w:rPr>
              <w:t>ować będą</w:t>
            </w:r>
            <w:r w:rsidRPr="00E435D5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 xml:space="preserve"> </w:t>
            </w:r>
            <w:r w:rsidRPr="00E435D5">
              <w:rPr>
                <w:rFonts w:cstheme="minorHAnsi"/>
              </w:rPr>
              <w:t>standardach wykorzystywanych przez NATO.</w:t>
            </w:r>
          </w:p>
        </w:tc>
      </w:tr>
      <w:tr w:rsidR="0008292A" w:rsidRPr="00633010" w:rsidTr="0014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08292A" w:rsidRPr="00633010" w:rsidRDefault="0008292A" w:rsidP="0008292A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3" w:type="dxa"/>
          </w:tcPr>
          <w:p w:rsidR="0008292A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(1) </w:t>
            </w:r>
            <w:r w:rsidRPr="00386B58">
              <w:rPr>
                <w:rFonts w:cstheme="minorHAnsi"/>
                <w:sz w:val="20"/>
                <w:szCs w:val="20"/>
              </w:rPr>
              <w:t>Pomorski Park Naukowo-Technologiczny Gdynia;</w:t>
            </w:r>
          </w:p>
          <w:p w:rsidR="0008292A" w:rsidRPr="00386B58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8292A" w:rsidRPr="00386B58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B58">
              <w:rPr>
                <w:rFonts w:cstheme="minorHAnsi"/>
                <w:sz w:val="20"/>
                <w:szCs w:val="20"/>
              </w:rPr>
              <w:t>(2) Gdański Uniwersytet Medyczny</w:t>
            </w:r>
          </w:p>
        </w:tc>
        <w:tc>
          <w:tcPr>
            <w:tcW w:w="851" w:type="dxa"/>
            <w:vAlign w:val="center"/>
          </w:tcPr>
          <w:p w:rsidR="0008292A" w:rsidRPr="001D3596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3596">
              <w:rPr>
                <w:rFonts w:ascii="Calibri" w:hAnsi="Calibri" w:cs="Calibri"/>
                <w:sz w:val="20"/>
              </w:rPr>
              <w:t>167</w:t>
            </w:r>
          </w:p>
        </w:tc>
        <w:tc>
          <w:tcPr>
            <w:tcW w:w="4536" w:type="dxa"/>
            <w:vAlign w:val="center"/>
          </w:tcPr>
          <w:p w:rsidR="0008292A" w:rsidRPr="001D3596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Nowa oś – BEZPIECZEŃSTWO i OBRONNOŚĆ powinna być realizowana z uwzględnieniem potencjału firm wpisujących się w ISP i Regionalne Agendy Badawcze. Projektowane działania powinny być komplementarne ze wsparciem w ramach przedsięwzięcia strategicznego „Smart Green Progress”, którego beneficjenci i grupa docelowa z powodzeniem może realizować projekty w zakresie dual-</w:t>
            </w:r>
            <w:proofErr w:type="spellStart"/>
            <w:r w:rsidRPr="001D3596">
              <w:rPr>
                <w:rFonts w:ascii="Calibri" w:hAnsi="Calibri" w:cs="Calibri"/>
                <w:sz w:val="20"/>
              </w:rPr>
              <w:t>use</w:t>
            </w:r>
            <w:proofErr w:type="spellEnd"/>
            <w:r w:rsidRPr="001D3596">
              <w:rPr>
                <w:rFonts w:ascii="Calibri" w:hAnsi="Calibri" w:cs="Calibri"/>
                <w:sz w:val="20"/>
              </w:rPr>
              <w:t>. Ważny katalog beneficjentów uwzględniający również liderów RAB we wszystkich formach prawnych.</w:t>
            </w:r>
          </w:p>
        </w:tc>
        <w:tc>
          <w:tcPr>
            <w:tcW w:w="3543" w:type="dxa"/>
            <w:vAlign w:val="center"/>
          </w:tcPr>
          <w:p w:rsidR="0008292A" w:rsidRPr="001D3596" w:rsidRDefault="0008292A" w:rsidP="0008292A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Zakres prowadzonych działań obejmie m.in.:</w:t>
            </w:r>
          </w:p>
          <w:p w:rsidR="0008292A" w:rsidRPr="001D3596" w:rsidRDefault="0008292A" w:rsidP="0008292A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rozwój współpracy przedsiębiorstw z sektorem nauki w zakresie weryfikacji możliwości adaptacji i akceleracji technologii podwójnego zastosowania,</w:t>
            </w:r>
          </w:p>
          <w:p w:rsidR="0008292A" w:rsidRPr="001D3596" w:rsidRDefault="0008292A" w:rsidP="0008292A">
            <w:pPr>
              <w:numPr>
                <w:ilvl w:val="0"/>
                <w:numId w:val="22"/>
              </w:numPr>
              <w:spacing w:before="60" w:after="6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specjalistyczne usługi dla przedsiębiorstw, w tym specjalistyczne usługi doradcze, w zakresie rozwoju technologii podwójnego zastosowania,</w:t>
            </w:r>
          </w:p>
          <w:p w:rsidR="0008292A" w:rsidRPr="001D3596" w:rsidRDefault="0008292A" w:rsidP="0008292A">
            <w:pPr>
              <w:numPr>
                <w:ilvl w:val="0"/>
                <w:numId w:val="22"/>
              </w:numPr>
              <w:spacing w:before="60" w:after="6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lastRenderedPageBreak/>
              <w:t>wsparcie potencjału i kompetencji przedsiębiorstw w zakresie ekspansji na rynki międzynarodowe, w tym udziału przedsiębiorstw, grup branżowych i międzybranżowych w międzynarodowych wydarzeniach gospodarczych oraz w nawiązywaniu relacji z zagranicą w zakresie technologii podwójnego zastosowania,</w:t>
            </w:r>
          </w:p>
          <w:p w:rsidR="0008292A" w:rsidRPr="001D3596" w:rsidRDefault="0008292A" w:rsidP="0008292A">
            <w:pPr>
              <w:numPr>
                <w:ilvl w:val="0"/>
                <w:numId w:val="22"/>
              </w:numPr>
              <w:spacing w:before="60" w:after="6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wsparcie rozwoju powiązań gospodarczych przedsiębiorstw i sieci partnerów na rzecz wdrażania technologii podwójnego zastosowania,</w:t>
            </w:r>
          </w:p>
          <w:p w:rsidR="0008292A" w:rsidRDefault="0008292A" w:rsidP="0008292A">
            <w:pPr>
              <w:numPr>
                <w:ilvl w:val="0"/>
                <w:numId w:val="22"/>
              </w:numPr>
              <w:spacing w:before="60" w:after="6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wsparcie przedsiębiorstw w zakresie rozwoju produkcji lub oferty usług w obszarze technologii podwójnego zastosowania,</w:t>
            </w:r>
          </w:p>
          <w:p w:rsidR="0008292A" w:rsidRPr="00695420" w:rsidRDefault="0008292A" w:rsidP="0008292A">
            <w:pPr>
              <w:numPr>
                <w:ilvl w:val="0"/>
                <w:numId w:val="22"/>
              </w:numPr>
              <w:spacing w:before="60" w:after="60"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695420">
              <w:rPr>
                <w:rFonts w:ascii="Calibri" w:hAnsi="Calibri" w:cs="Calibri"/>
                <w:sz w:val="20"/>
              </w:rPr>
              <w:t>wsparcie rozwoju ISP w zakresie poszerzania oferty w obszarze technologii podwójnego zastosowania</w:t>
            </w:r>
          </w:p>
        </w:tc>
        <w:tc>
          <w:tcPr>
            <w:tcW w:w="1701" w:type="dxa"/>
          </w:tcPr>
          <w:p w:rsidR="0008292A" w:rsidRDefault="0008292A" w:rsidP="0008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Uwaga częściowo uwzględniona</w:t>
            </w:r>
          </w:p>
        </w:tc>
        <w:tc>
          <w:tcPr>
            <w:tcW w:w="2552" w:type="dxa"/>
          </w:tcPr>
          <w:p w:rsidR="0008292A" w:rsidRPr="00D73FCE" w:rsidRDefault="0008292A" w:rsidP="0008292A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W celach szczegółowych (i) i (iii) zostały dodane zapisy umożliwiające realizację projektów w obszarze </w:t>
            </w:r>
            <w:r w:rsidRPr="00545EE7">
              <w:rPr>
                <w:rFonts w:cstheme="minorHAnsi"/>
              </w:rPr>
              <w:t xml:space="preserve">bezpieczeństwa i obronności </w:t>
            </w:r>
            <w:r>
              <w:rPr>
                <w:rFonts w:cstheme="minorHAnsi"/>
              </w:rPr>
              <w:t xml:space="preserve">z wykorzystaniem </w:t>
            </w:r>
            <w:r w:rsidRPr="00545EE7">
              <w:rPr>
                <w:rFonts w:cstheme="minorHAnsi"/>
              </w:rPr>
              <w:t>technologi</w:t>
            </w:r>
            <w:r>
              <w:rPr>
                <w:rFonts w:cstheme="minorHAnsi"/>
              </w:rPr>
              <w:t>i i kompetencji</w:t>
            </w:r>
            <w:r w:rsidRPr="00545EE7">
              <w:rPr>
                <w:rFonts w:cstheme="minorHAnsi"/>
              </w:rPr>
              <w:t xml:space="preserve"> podwójnego zastosowania</w:t>
            </w:r>
            <w:r>
              <w:rPr>
                <w:rFonts w:cstheme="minorHAnsi"/>
              </w:rPr>
              <w:t xml:space="preserve">. Nowy Priorytet 1.7. </w:t>
            </w:r>
            <w:r w:rsidRPr="00590EB6">
              <w:rPr>
                <w:rFonts w:cstheme="minorHAnsi"/>
              </w:rPr>
              <w:t>Fundusze europejskie dla rozwoju technologii podwójnego zastosowania na Pomorzu</w:t>
            </w:r>
            <w:r>
              <w:rPr>
                <w:rFonts w:cstheme="minorHAnsi"/>
              </w:rPr>
              <w:t xml:space="preserve">, realizowany będzie w oparciu o doświadczenia programu </w:t>
            </w:r>
            <w:r>
              <w:rPr>
                <w:rFonts w:cstheme="minorHAnsi"/>
              </w:rPr>
              <w:lastRenderedPageBreak/>
              <w:t>NATO DIANA. Możliwość wyboru i wsparcia technologii podwójnego zastosowania nie może być zawężana, a p</w:t>
            </w:r>
            <w:r w:rsidRPr="00E435D5">
              <w:rPr>
                <w:rFonts w:cstheme="minorHAnsi"/>
              </w:rPr>
              <w:t xml:space="preserve">rocesy oceny i weryfikacji </w:t>
            </w:r>
            <w:r>
              <w:rPr>
                <w:rFonts w:cstheme="minorHAnsi"/>
              </w:rPr>
              <w:t xml:space="preserve">technologii </w:t>
            </w:r>
            <w:r w:rsidRPr="00E435D5">
              <w:rPr>
                <w:rFonts w:cstheme="minorHAnsi"/>
              </w:rPr>
              <w:t>baz</w:t>
            </w:r>
            <w:r>
              <w:rPr>
                <w:rFonts w:cstheme="minorHAnsi"/>
              </w:rPr>
              <w:t>ować będą</w:t>
            </w:r>
            <w:r w:rsidRPr="00E435D5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 xml:space="preserve"> </w:t>
            </w:r>
            <w:r w:rsidRPr="00E435D5">
              <w:rPr>
                <w:rFonts w:cstheme="minorHAnsi"/>
              </w:rPr>
              <w:t>standardach wykorzystywanych przez NATO.</w:t>
            </w:r>
          </w:p>
        </w:tc>
      </w:tr>
      <w:tr w:rsidR="0008292A" w:rsidRPr="00633010" w:rsidTr="0014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:rsidR="0008292A" w:rsidRPr="00633010" w:rsidRDefault="0008292A" w:rsidP="0008292A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bookmarkStart w:id="5" w:name="_Hlk215208593"/>
          </w:p>
        </w:tc>
        <w:tc>
          <w:tcPr>
            <w:tcW w:w="1293" w:type="dxa"/>
          </w:tcPr>
          <w:p w:rsidR="0008292A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(1) </w:t>
            </w:r>
            <w:r w:rsidRPr="001D3596">
              <w:rPr>
                <w:rFonts w:cstheme="minorHAnsi"/>
                <w:sz w:val="20"/>
                <w:szCs w:val="20"/>
              </w:rPr>
              <w:t>Pomorski Park Naukowo-Technologiczny Gdynia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:rsidR="0008292A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08292A" w:rsidRPr="00D73FCE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(2) </w:t>
            </w:r>
            <w:r w:rsidRPr="001D3596">
              <w:rPr>
                <w:rFonts w:cstheme="minorHAnsi"/>
                <w:sz w:val="20"/>
                <w:szCs w:val="20"/>
              </w:rPr>
              <w:t>Gdański Uniwersytet Medyczny</w:t>
            </w:r>
          </w:p>
        </w:tc>
        <w:tc>
          <w:tcPr>
            <w:tcW w:w="851" w:type="dxa"/>
            <w:vAlign w:val="center"/>
          </w:tcPr>
          <w:p w:rsidR="0008292A" w:rsidRPr="001D3596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D3596">
              <w:rPr>
                <w:rFonts w:ascii="Calibri" w:hAnsi="Calibri" w:cs="Calibri"/>
                <w:sz w:val="20"/>
              </w:rPr>
              <w:lastRenderedPageBreak/>
              <w:t>183</w:t>
            </w:r>
          </w:p>
        </w:tc>
        <w:tc>
          <w:tcPr>
            <w:tcW w:w="4536" w:type="dxa"/>
            <w:vAlign w:val="center"/>
          </w:tcPr>
          <w:p w:rsidR="0008292A" w:rsidRPr="001D3596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D3596">
              <w:rPr>
                <w:rFonts w:ascii="Calibri" w:hAnsi="Calibri" w:cs="Calibri"/>
                <w:sz w:val="20"/>
              </w:rPr>
              <w:t>Nowy priorytet powinien uwzględniać energetyczne potrzeby i wyzwania regionu związane z transformacją energetyc</w:t>
            </w:r>
            <w:bookmarkStart w:id="6" w:name="_GoBack"/>
            <w:bookmarkEnd w:id="6"/>
            <w:r w:rsidRPr="001D3596">
              <w:rPr>
                <w:rFonts w:ascii="Calibri" w:hAnsi="Calibri" w:cs="Calibri"/>
                <w:sz w:val="20"/>
              </w:rPr>
              <w:t xml:space="preserve">zną w kontekście m.in. rozwoju kompetencji i rynku pracy. </w:t>
            </w:r>
          </w:p>
        </w:tc>
        <w:tc>
          <w:tcPr>
            <w:tcW w:w="3543" w:type="dxa"/>
            <w:vAlign w:val="center"/>
          </w:tcPr>
          <w:p w:rsidR="0008292A" w:rsidRPr="00570E6D" w:rsidRDefault="0008292A" w:rsidP="0008292A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1D3596">
              <w:rPr>
                <w:rFonts w:ascii="Calibri" w:eastAsia="Calibri" w:hAnsi="Calibri" w:cs="Calibri"/>
                <w:sz w:val="20"/>
              </w:rPr>
              <w:t xml:space="preserve">W ramach celu realizowana będzie interwencja służąca zwiększeniu </w:t>
            </w:r>
            <w:r w:rsidRPr="001D3596">
              <w:rPr>
                <w:rFonts w:ascii="Calibri" w:eastAsia="Calibri" w:hAnsi="Calibri" w:cs="Calibri"/>
                <w:sz w:val="20"/>
                <w:u w:val="single"/>
              </w:rPr>
              <w:t>zdolności adaptacyjnych pracodawców i ich pracowników, przedsiębiorstw i przedsiębiorców</w:t>
            </w:r>
            <w:r w:rsidRPr="001D3596">
              <w:rPr>
                <w:rFonts w:ascii="Calibri" w:eastAsia="Calibri" w:hAnsi="Calibri" w:cs="Calibri"/>
                <w:sz w:val="20"/>
              </w:rPr>
              <w:t xml:space="preserve"> na wypadek występowania zdarzeń kryzysowych oraz </w:t>
            </w:r>
            <w:r w:rsidRPr="001D3596">
              <w:rPr>
                <w:rFonts w:ascii="Calibri" w:eastAsia="Calibri" w:hAnsi="Calibri" w:cs="Calibri"/>
                <w:sz w:val="20"/>
              </w:rPr>
              <w:lastRenderedPageBreak/>
              <w:t>mających wpływ na gospodarkę i rynek pracy z uwzględnieniem transformacji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D3596">
              <w:rPr>
                <w:rFonts w:ascii="Calibri" w:eastAsia="Calibri" w:hAnsi="Calibri" w:cs="Calibri"/>
                <w:sz w:val="20"/>
              </w:rPr>
              <w:t>energetycznej.</w:t>
            </w:r>
            <w:r w:rsidRPr="001D3596">
              <w:rPr>
                <w:rFonts w:ascii="Calibri" w:eastAsia="Calibri" w:hAnsi="Calibri" w:cs="Calibri"/>
                <w:sz w:val="20"/>
              </w:rPr>
              <w:br/>
              <w:t>Będą to w szczególności działania dotyczące:</w:t>
            </w:r>
          </w:p>
          <w:p w:rsidR="0008292A" w:rsidRPr="001D3596" w:rsidRDefault="0008292A" w:rsidP="0008292A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1D3596">
              <w:rPr>
                <w:rFonts w:ascii="Calibri" w:eastAsia="Calibri" w:hAnsi="Calibri" w:cs="Calibri"/>
                <w:sz w:val="20"/>
              </w:rPr>
              <w:t>zapewnienia ciągłości działania w sytuacjach kryzysowych,</w:t>
            </w:r>
          </w:p>
          <w:p w:rsidR="0008292A" w:rsidRPr="001D3596" w:rsidRDefault="0008292A" w:rsidP="0008292A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1D3596">
              <w:rPr>
                <w:rFonts w:ascii="Calibri" w:eastAsia="Calibri" w:hAnsi="Calibri" w:cs="Calibri"/>
                <w:sz w:val="20"/>
              </w:rPr>
              <w:t>bezpieczeństwa (w tym cyberbezpieczeństwa), obronności, technologii i kompetencji podwójnego zastosowania,</w:t>
            </w:r>
          </w:p>
          <w:p w:rsidR="0008292A" w:rsidRDefault="0008292A" w:rsidP="0008292A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ind w:left="284" w:hanging="29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1D3596">
              <w:rPr>
                <w:rFonts w:ascii="Calibri" w:eastAsia="Calibri" w:hAnsi="Calibri" w:cs="Calibri"/>
                <w:sz w:val="20"/>
              </w:rPr>
              <w:t>dekarbonizacji na rzecz zielonej transformacji.</w:t>
            </w:r>
          </w:p>
          <w:p w:rsidR="0008292A" w:rsidRPr="00570E6D" w:rsidRDefault="0008292A" w:rsidP="0008292A">
            <w:pPr>
              <w:pStyle w:val="Akapitzlist"/>
              <w:numPr>
                <w:ilvl w:val="0"/>
                <w:numId w:val="23"/>
              </w:numPr>
              <w:spacing w:before="60" w:after="60" w:line="276" w:lineRule="auto"/>
              <w:ind w:left="284" w:hanging="295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70E6D">
              <w:rPr>
                <w:rFonts w:ascii="Calibri" w:eastAsia="Calibri" w:hAnsi="Calibri" w:cs="Calibri"/>
                <w:sz w:val="20"/>
              </w:rPr>
              <w:t>wspierania kompetencji energetycznych</w:t>
            </w:r>
          </w:p>
        </w:tc>
        <w:tc>
          <w:tcPr>
            <w:tcW w:w="1701" w:type="dxa"/>
          </w:tcPr>
          <w:p w:rsidR="0008292A" w:rsidRDefault="0008292A" w:rsidP="00082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Uwaga nieuwzględniona</w:t>
            </w:r>
          </w:p>
        </w:tc>
        <w:tc>
          <w:tcPr>
            <w:tcW w:w="2552" w:type="dxa"/>
          </w:tcPr>
          <w:p w:rsidR="0008292A" w:rsidRPr="00557D17" w:rsidRDefault="0008292A" w:rsidP="0008292A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57D17">
              <w:rPr>
                <w:rFonts w:cstheme="minorHAnsi"/>
              </w:rPr>
              <w:t xml:space="preserve">Doprecyzowanie „z uwzględnieniem transformacji energetycznej” stanowi zawężenie obecnego, szerokiego zapisu, który umożliwia interwencję w </w:t>
            </w:r>
            <w:r w:rsidRPr="00557D17">
              <w:rPr>
                <w:rFonts w:cstheme="minorHAnsi"/>
              </w:rPr>
              <w:lastRenderedPageBreak/>
              <w:t xml:space="preserve">obszarze całej gospodarki i rynku pracy. IZ FEP w opisie planowanych działań nie doprecyzowuje poszczególnych sektorów. Taki zapis mógłby w przyszłości wykluczać interwencje, które nie zostaną wskazane wprost w treści programu. </w:t>
            </w:r>
          </w:p>
        </w:tc>
      </w:tr>
      <w:bookmarkEnd w:id="5"/>
    </w:tbl>
    <w:p w:rsidR="00435417" w:rsidRDefault="00435417" w:rsidP="00435417">
      <w:pPr>
        <w:sectPr w:rsidR="00435417" w:rsidSect="0043541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35417" w:rsidRPr="005805DB" w:rsidRDefault="0011433A" w:rsidP="0011433A">
      <w:pPr>
        <w:pStyle w:val="Nagwek2"/>
        <w:spacing w:after="0"/>
        <w:rPr>
          <w:sz w:val="26"/>
        </w:rPr>
      </w:pPr>
      <w:bookmarkStart w:id="7" w:name="_Toc214017469"/>
      <w:r w:rsidRPr="005805DB">
        <w:rPr>
          <w:sz w:val="26"/>
        </w:rPr>
        <w:lastRenderedPageBreak/>
        <w:t>Załącznik 2. Formularz zgłaszania uwag w ramach konsultacji społecznych</w:t>
      </w:r>
      <w:bookmarkEnd w:id="7"/>
    </w:p>
    <w:p w:rsidR="0011433A" w:rsidRDefault="0011433A" w:rsidP="0011433A">
      <w:pPr>
        <w:pStyle w:val="Nagwek"/>
        <w:ind w:left="-127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C4CB5" wp14:editId="299785DC">
                <wp:simplePos x="0" y="0"/>
                <wp:positionH relativeFrom="column">
                  <wp:posOffset>-748030</wp:posOffset>
                </wp:positionH>
                <wp:positionV relativeFrom="paragraph">
                  <wp:posOffset>751093</wp:posOffset>
                </wp:positionV>
                <wp:extent cx="725805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F4D7C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DMowDx4QAAAA0BAAAPAAAAAAAAAAAA&#10;AAAAAIsEAABkcnMvZG93bnJldi54bWxQSwUGAAAAAAQABADzAAAAmQUAAAAA&#10;" strokecolor="black [3213]" strokeweight=".2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34F7150D" wp14:editId="05EF5C2F">
            <wp:extent cx="7321846" cy="686257"/>
            <wp:effectExtent l="0" t="0" r="0" b="0"/>
            <wp:docPr id="13" name="Obraz 13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497" cy="70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3A" w:rsidRDefault="0011433A" w:rsidP="0011433A">
      <w:pPr>
        <w:spacing w:before="240" w:after="120"/>
        <w:rPr>
          <w:rFonts w:ascii="Calibri" w:hAnsi="Calibri" w:cs="Calibri"/>
          <w:b/>
          <w:color w:val="000080"/>
        </w:rPr>
      </w:pPr>
    </w:p>
    <w:p w:rsidR="0011433A" w:rsidRPr="004C3D36" w:rsidRDefault="0011433A" w:rsidP="0011433A">
      <w:pPr>
        <w:spacing w:before="24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>Formularz konsultacyjny</w:t>
      </w:r>
    </w:p>
    <w:p w:rsidR="0011433A" w:rsidRDefault="0011433A" w:rsidP="0011433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>
        <w:rPr>
          <w:rFonts w:ascii="Calibri" w:hAnsi="Calibri" w:cs="Calibri"/>
          <w:b/>
          <w:color w:val="000080"/>
        </w:rPr>
        <w:t xml:space="preserve">zmiany programu </w:t>
      </w:r>
      <w:r>
        <w:rPr>
          <w:rFonts w:ascii="Calibri" w:hAnsi="Calibri" w:cs="Calibri"/>
          <w:b/>
          <w:i/>
          <w:color w:val="000080"/>
        </w:rPr>
        <w:t>Fundusze Europejskie dla Pomorza 2021-2027</w:t>
      </w:r>
      <w:r w:rsidRPr="004C3D36">
        <w:rPr>
          <w:rFonts w:ascii="Calibri" w:hAnsi="Calibri" w:cs="Calibri"/>
          <w:b/>
          <w:i/>
          <w:color w:val="000080"/>
        </w:rPr>
        <w:t xml:space="preserve"> </w:t>
      </w:r>
    </w:p>
    <w:p w:rsidR="0011433A" w:rsidRPr="002C1089" w:rsidRDefault="0011433A" w:rsidP="0011433A">
      <w:pPr>
        <w:spacing w:before="120" w:after="120"/>
        <w:jc w:val="center"/>
        <w:rPr>
          <w:rFonts w:ascii="Calibri" w:hAnsi="Calibri" w:cs="Calibri"/>
          <w:b/>
          <w:color w:val="000080"/>
        </w:rPr>
      </w:pPr>
    </w:p>
    <w:p w:rsidR="0011433A" w:rsidRPr="004C3D36" w:rsidRDefault="0011433A" w:rsidP="0011433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:rsidR="0011433A" w:rsidRPr="004C3D36" w:rsidRDefault="0011433A" w:rsidP="0011433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</w:rPr>
      </w:pPr>
    </w:p>
    <w:p w:rsidR="0011433A" w:rsidRPr="004C3D36" w:rsidRDefault="0011433A" w:rsidP="0011433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8"/>
    </w:p>
    <w:p w:rsidR="0011433A" w:rsidRPr="004C3D36" w:rsidRDefault="0011433A" w:rsidP="0011433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:rsidR="0011433A" w:rsidRPr="004C3D36" w:rsidRDefault="0011433A" w:rsidP="0011433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:rsidR="0011433A" w:rsidRPr="004C3D36" w:rsidRDefault="0011433A" w:rsidP="0011433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5F279B">
        <w:rPr>
          <w:rFonts w:ascii="Calibri" w:hAnsi="Calibri" w:cs="Calibri"/>
          <w:color w:val="000000"/>
        </w:rPr>
      </w:r>
      <w:r w:rsidR="005F279B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9"/>
      <w:r w:rsidRPr="004C3D36">
        <w:rPr>
          <w:rFonts w:ascii="Calibri" w:hAnsi="Calibri" w:cs="Calibri"/>
          <w:color w:val="000000"/>
        </w:rPr>
        <w:tab/>
      </w:r>
    </w:p>
    <w:p w:rsidR="0011433A" w:rsidRPr="004C3D36" w:rsidRDefault="0011433A" w:rsidP="0011433A">
      <w:pPr>
        <w:rPr>
          <w:rFonts w:ascii="Calibri" w:hAnsi="Calibri" w:cs="Calibri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:rsidR="0011433A" w:rsidRPr="00B6251C" w:rsidRDefault="0011433A" w:rsidP="0011433A">
      <w:pPr>
        <w:ind w:left="4956" w:firstLine="708"/>
        <w:rPr>
          <w:rFonts w:ascii="Calibri" w:hAnsi="Calibri" w:cs="Calibri"/>
          <w:i/>
        </w:rPr>
      </w:pPr>
      <w:r w:rsidRPr="004C3D36">
        <w:rPr>
          <w:rFonts w:ascii="Calibri" w:hAnsi="Calibri" w:cs="Calibri"/>
          <w:i/>
        </w:rPr>
        <w:t>(nazwa instytucji)</w:t>
      </w:r>
    </w:p>
    <w:p w:rsidR="0011433A" w:rsidRPr="004C3D36" w:rsidRDefault="0011433A" w:rsidP="0011433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11433A" w:rsidRPr="004C3D36" w:rsidRDefault="0011433A" w:rsidP="0011433A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informujemy, że:</w:t>
      </w:r>
    </w:p>
    <w:p w:rsidR="0011433A" w:rsidRPr="004C3D36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17" w:history="1">
        <w:r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:rsidR="0011433A" w:rsidRPr="00D96C6A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1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</w:t>
      </w:r>
    </w:p>
    <w:p w:rsidR="0011433A" w:rsidRPr="00D96C6A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>
        <w:rPr>
          <w:rFonts w:ascii="Calibri" w:hAnsi="Calibri" w:cs="Calibri"/>
          <w:sz w:val="16"/>
          <w:szCs w:val="16"/>
        </w:rPr>
        <w:t>Fundusze Europejskie dla Pomorza na lata 2021-2027</w:t>
      </w:r>
      <w:r w:rsidRPr="00D96C6A">
        <w:rPr>
          <w:rFonts w:ascii="Calibri" w:hAnsi="Calibri" w:cs="Calibri"/>
          <w:sz w:val="16"/>
          <w:szCs w:val="16"/>
        </w:rPr>
        <w:t xml:space="preserve"> tj. w celu wypełnienia obowiązku prawnego określonego w przepisach </w:t>
      </w:r>
      <w:r w:rsidRPr="003619C8">
        <w:rPr>
          <w:rFonts w:ascii="Calibri" w:hAnsi="Calibri" w:cs="Calibri"/>
          <w:sz w:val="16"/>
          <w:szCs w:val="16"/>
        </w:rPr>
        <w:t>ustawy o zasadach prowadzenia polityki rozwoju, ustawy o samorządzie województwa oraz w celach archiwizacyjnych tj. na podstawie ar</w:t>
      </w:r>
      <w:r w:rsidRPr="00D96C6A">
        <w:rPr>
          <w:rFonts w:ascii="Calibri" w:hAnsi="Calibri" w:cs="Calibri"/>
          <w:sz w:val="16"/>
          <w:szCs w:val="16"/>
        </w:rPr>
        <w:t>t. 6 ust. 1 pkt c RODO.</w:t>
      </w:r>
      <w:r w:rsidRPr="00D96C6A">
        <w:t xml:space="preserve"> </w:t>
      </w:r>
      <w:r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zebrania uwag i komentarzy do projektu </w:t>
      </w:r>
      <w:r>
        <w:rPr>
          <w:rFonts w:ascii="Calibri" w:hAnsi="Calibri" w:cs="Calibri"/>
          <w:sz w:val="16"/>
          <w:szCs w:val="16"/>
        </w:rPr>
        <w:t>Fundusze Europejskie dla Pomorza 2021-2027</w:t>
      </w:r>
      <w:r w:rsidRPr="00D96C6A">
        <w:rPr>
          <w:rFonts w:ascii="Calibri" w:hAnsi="Calibri" w:cs="Calibri"/>
          <w:sz w:val="16"/>
          <w:szCs w:val="16"/>
        </w:rPr>
        <w:t xml:space="preserve"> – tj. zgodnie z udzieloną zgodą;</w:t>
      </w:r>
    </w:p>
    <w:p w:rsidR="0011433A" w:rsidRPr="002E31C1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 xml:space="preserve">Zgoda w zakresie przetwarzania Pana/Pani numeru telefonu może zostać wycofana w każdej chwili po przesłaniu oświadczenia o cofnięciu zgody na adres </w:t>
      </w:r>
      <w:hyperlink r:id="rId19" w:history="1">
        <w:r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>
        <w:rPr>
          <w:rFonts w:ascii="Calibri" w:hAnsi="Calibri" w:cs="Calibri"/>
          <w:sz w:val="16"/>
          <w:szCs w:val="16"/>
        </w:rPr>
        <w:t xml:space="preserve">.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podstawie zgody przed jej wycofaniem. Brak jest konsekwencji niewyrażenia zgody.</w:t>
      </w:r>
    </w:p>
    <w:p w:rsidR="0011433A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85B88">
        <w:rPr>
          <w:rFonts w:ascii="Calibri" w:hAnsi="Calibri" w:cs="Calibri"/>
          <w:sz w:val="16"/>
          <w:szCs w:val="16"/>
        </w:rPr>
        <w:t>Pani/Pana dane osobowe będą przekazywane innym podmiotom, którym zlecane są usługi związane z przetwarzaniem danych osobowych, w szczególności podmiotom wspierającym systemy informatyczne. Takie podmioty będą przetwarzać dane na podstawie umowy z nami i tylko zgodnie z naszymi poleceniami</w:t>
      </w:r>
      <w:r>
        <w:rPr>
          <w:rFonts w:ascii="Calibri" w:hAnsi="Calibri" w:cs="Calibri"/>
          <w:sz w:val="16"/>
          <w:szCs w:val="16"/>
        </w:rPr>
        <w:t>.</w:t>
      </w:r>
    </w:p>
    <w:p w:rsidR="0011433A" w:rsidRPr="004C3D36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>
        <w:rPr>
          <w:rFonts w:ascii="Calibri" w:hAnsi="Calibri" w:cs="Calibri"/>
          <w:sz w:val="16"/>
          <w:szCs w:val="16"/>
        </w:rPr>
        <w:t xml:space="preserve">najpierw przechowywane w archiwum zakładowym, a po 25 latach będą przekazane do archiwum państwowego) lub </w:t>
      </w:r>
      <w:r w:rsidRPr="00085AD0">
        <w:rPr>
          <w:rFonts w:ascii="Calibri" w:hAnsi="Calibri" w:cs="Calibri"/>
          <w:sz w:val="16"/>
          <w:szCs w:val="16"/>
        </w:rPr>
        <w:t>do momentu cofnięcia przez Panią/Pana zgody</w:t>
      </w:r>
      <w:r>
        <w:rPr>
          <w:rFonts w:ascii="Calibri" w:hAnsi="Calibri" w:cs="Calibri"/>
          <w:sz w:val="16"/>
          <w:szCs w:val="16"/>
        </w:rPr>
        <w:t>.</w:t>
      </w:r>
    </w:p>
    <w:p w:rsidR="0011433A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1433A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11433A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</w:t>
      </w:r>
      <w:r>
        <w:rPr>
          <w:rFonts w:ascii="Calibri" w:hAnsi="Calibri" w:cs="Calibri"/>
          <w:sz w:val="16"/>
          <w:szCs w:val="16"/>
        </w:rPr>
        <w:t xml:space="preserve"> i </w:t>
      </w:r>
      <w:r w:rsidRPr="001F3657">
        <w:rPr>
          <w:rFonts w:ascii="Calibri" w:hAnsi="Calibri" w:cs="Calibri"/>
          <w:sz w:val="16"/>
          <w:szCs w:val="16"/>
        </w:rPr>
        <w:t>ustawy o samorządzie województwa.</w:t>
      </w:r>
      <w:r w:rsidRPr="009F535B">
        <w:t xml:space="preserve"> </w:t>
      </w:r>
      <w:r w:rsidRPr="001F3657">
        <w:rPr>
          <w:rFonts w:ascii="Calibri" w:hAnsi="Calibri" w:cs="Calibri"/>
          <w:sz w:val="16"/>
          <w:szCs w:val="16"/>
        </w:rPr>
        <w:t xml:space="preserve">Jest Pani/Pan zobowiązana/y do ich podania, a konsekwencją niepodania danych osobowych będzie brak </w:t>
      </w:r>
      <w:r>
        <w:rPr>
          <w:rFonts w:ascii="Calibri" w:hAnsi="Calibri" w:cs="Calibri"/>
          <w:sz w:val="16"/>
          <w:szCs w:val="16"/>
        </w:rPr>
        <w:t>rozpatrzenia zgłoszonych uwag i komentarzy.</w:t>
      </w:r>
    </w:p>
    <w:p w:rsidR="0011433A" w:rsidRPr="00B6251C" w:rsidRDefault="0011433A" w:rsidP="0011433A">
      <w:pPr>
        <w:pStyle w:val="Akapitzlist"/>
        <w:spacing w:line="240" w:lineRule="auto"/>
        <w:rPr>
          <w:rFonts w:ascii="Calibri" w:hAnsi="Calibri" w:cs="Calibri"/>
          <w:sz w:val="16"/>
          <w:szCs w:val="16"/>
        </w:rPr>
      </w:pPr>
    </w:p>
    <w:p w:rsidR="004C7708" w:rsidRDefault="004C7708" w:rsidP="0011433A">
      <w:pPr>
        <w:rPr>
          <w:rFonts w:ascii="Calibri" w:hAnsi="Calibri" w:cs="Calibri"/>
          <w:b/>
          <w:smallCaps/>
          <w:color w:val="000080"/>
        </w:rPr>
      </w:pPr>
    </w:p>
    <w:p w:rsidR="004C7708" w:rsidRDefault="004C7708" w:rsidP="0011433A">
      <w:pPr>
        <w:rPr>
          <w:rFonts w:ascii="Calibri" w:hAnsi="Calibri" w:cs="Calibri"/>
          <w:b/>
          <w:smallCaps/>
          <w:color w:val="000080"/>
        </w:rPr>
      </w:pPr>
    </w:p>
    <w:p w:rsidR="0011433A" w:rsidRPr="0011433A" w:rsidRDefault="0011433A" w:rsidP="0011433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lastRenderedPageBreak/>
        <w:t>Część II – szczegółowe opinie, uwagi i wnioski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C43B89" w:rsidRPr="004C3D36" w:rsidTr="00D82D5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C43B89" w:rsidRPr="004C3D36" w:rsidRDefault="00C43B89" w:rsidP="00C43B89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C43B89" w:rsidRPr="004C3D36" w:rsidRDefault="00C43B89" w:rsidP="00C43B89">
            <w:pPr>
              <w:spacing w:after="0"/>
              <w:jc w:val="center"/>
            </w:pPr>
            <w:r w:rsidRPr="004C3D36">
              <w:rPr>
                <w:rFonts w:ascii="Calibri" w:hAnsi="Calibri" w:cs="Calibri"/>
                <w:b/>
              </w:rPr>
              <w:t xml:space="preserve">Zapis w projekcie </w:t>
            </w:r>
            <w:r>
              <w:rPr>
                <w:rFonts w:ascii="Calibri" w:hAnsi="Calibri" w:cs="Calibri"/>
                <w:b/>
              </w:rPr>
              <w:t>zmiany programu Fundusze Europejskie dla Pomorza 2021-2027</w:t>
            </w:r>
            <w:r w:rsidRPr="004C3D36">
              <w:rPr>
                <w:rFonts w:ascii="Calibri" w:hAnsi="Calibri" w:cs="Calibri"/>
                <w:b/>
              </w:rPr>
              <w:t xml:space="preserve"> </w:t>
            </w:r>
            <w:r w:rsidRPr="004C3D36">
              <w:rPr>
                <w:rFonts w:ascii="Calibri" w:hAnsi="Calibri" w:cs="Calibri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43B89" w:rsidRPr="004C3D36" w:rsidRDefault="00C43B89" w:rsidP="00C43B89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43B89" w:rsidRDefault="00C43B89" w:rsidP="00C43B89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Teść uwagi</w:t>
            </w:r>
          </w:p>
          <w:p w:rsidR="00C43B89" w:rsidRPr="004C3D36" w:rsidRDefault="00C43B89" w:rsidP="00C43B89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:rsidR="00C43B89" w:rsidRPr="004C3D36" w:rsidRDefault="00C43B89" w:rsidP="00C43B89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Uzasadnienie</w:t>
            </w:r>
            <w:r>
              <w:rPr>
                <w:rFonts w:ascii="Calibri" w:hAnsi="Calibri" w:cs="Calibri"/>
                <w:b/>
              </w:rPr>
              <w:t xml:space="preserve"> do uwagi</w:t>
            </w:r>
          </w:p>
        </w:tc>
      </w:tr>
      <w:tr w:rsidR="0011433A" w:rsidRPr="004C3D36" w:rsidTr="00D82D5F">
        <w:trPr>
          <w:trHeight w:val="270"/>
        </w:trPr>
        <w:tc>
          <w:tcPr>
            <w:tcW w:w="520" w:type="dxa"/>
            <w:vAlign w:val="center"/>
          </w:tcPr>
          <w:p w:rsidR="0011433A" w:rsidRPr="004C3D36" w:rsidRDefault="0011433A" w:rsidP="0011433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5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3019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</w:tr>
      <w:tr w:rsidR="0011433A" w:rsidRPr="004C3D36" w:rsidTr="00D82D5F">
        <w:trPr>
          <w:trHeight w:val="270"/>
        </w:trPr>
        <w:tc>
          <w:tcPr>
            <w:tcW w:w="520" w:type="dxa"/>
            <w:vAlign w:val="center"/>
          </w:tcPr>
          <w:p w:rsidR="0011433A" w:rsidRPr="004C3D36" w:rsidRDefault="0011433A" w:rsidP="0011433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5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3019" w:type="dxa"/>
            <w:vAlign w:val="center"/>
          </w:tcPr>
          <w:p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</w:tr>
    </w:tbl>
    <w:p w:rsidR="0011433A" w:rsidRDefault="0011433A" w:rsidP="00435417">
      <w:pPr>
        <w:sectPr w:rsidR="0011433A" w:rsidSect="00727D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1433A" w:rsidRPr="005805DB" w:rsidRDefault="0011433A" w:rsidP="0011433A">
      <w:pPr>
        <w:pStyle w:val="Nagwek2"/>
        <w:rPr>
          <w:sz w:val="26"/>
        </w:rPr>
      </w:pPr>
      <w:bookmarkStart w:id="10" w:name="_Toc214017470"/>
      <w:r w:rsidRPr="005805DB">
        <w:rPr>
          <w:sz w:val="26"/>
        </w:rPr>
        <w:lastRenderedPageBreak/>
        <w:t>Załącznik 3. Ogłoszenie prasowe o konsultacjach</w:t>
      </w:r>
      <w:bookmarkEnd w:id="10"/>
      <w:r w:rsidRPr="005805DB">
        <w:rPr>
          <w:sz w:val="26"/>
        </w:rPr>
        <w:t xml:space="preserve"> </w:t>
      </w:r>
    </w:p>
    <w:p w:rsidR="00E80AF2" w:rsidRPr="0017566B" w:rsidRDefault="00E80AF2" w:rsidP="00E80AF2">
      <w:pPr>
        <w:pStyle w:val="Tekstpodstawowy2"/>
        <w:spacing w:before="60" w:after="60" w:line="24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bookmarkStart w:id="11" w:name="_Toc214017471"/>
      <w:r w:rsidRPr="0017566B">
        <w:rPr>
          <w:rFonts w:ascii="Arial" w:hAnsi="Arial" w:cs="Arial"/>
          <w:b/>
          <w:sz w:val="40"/>
          <w:szCs w:val="40"/>
        </w:rPr>
        <w:t>Zarząd Województwa Pomorskiego</w:t>
      </w:r>
      <w:bookmarkEnd w:id="11"/>
    </w:p>
    <w:p w:rsidR="00E80AF2" w:rsidRPr="0017566B" w:rsidRDefault="00E80AF2" w:rsidP="00E80AF2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566B">
        <w:rPr>
          <w:rFonts w:ascii="Arial" w:hAnsi="Arial" w:cs="Arial"/>
          <w:b/>
          <w:sz w:val="32"/>
          <w:szCs w:val="32"/>
        </w:rPr>
        <w:t>informuje, że</w:t>
      </w:r>
    </w:p>
    <w:p w:rsidR="00E80AF2" w:rsidRPr="0017566B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 października 2025</w:t>
      </w:r>
      <w:r w:rsidRPr="0017566B">
        <w:rPr>
          <w:rFonts w:ascii="Arial" w:hAnsi="Arial" w:cs="Arial"/>
          <w:b/>
          <w:sz w:val="32"/>
          <w:szCs w:val="32"/>
        </w:rPr>
        <w:t xml:space="preserve"> r. </w:t>
      </w:r>
      <w:r w:rsidRPr="0017566B">
        <w:rPr>
          <w:rFonts w:ascii="Arial" w:hAnsi="Arial" w:cs="Arial"/>
          <w:sz w:val="32"/>
          <w:szCs w:val="32"/>
        </w:rPr>
        <w:t xml:space="preserve">rozpoczęły się </w:t>
      </w:r>
    </w:p>
    <w:p w:rsidR="00E80AF2" w:rsidRPr="00673D77" w:rsidRDefault="00E80AF2" w:rsidP="00E80AF2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2" w:name="_Toc214017472"/>
      <w:r w:rsidRPr="00673D77">
        <w:rPr>
          <w:rFonts w:ascii="Arial" w:hAnsi="Arial" w:cs="Arial"/>
          <w:b/>
          <w:sz w:val="40"/>
          <w:szCs w:val="40"/>
        </w:rPr>
        <w:t>KONSULTACJE SPOŁECZNE</w:t>
      </w:r>
      <w:bookmarkEnd w:id="12"/>
    </w:p>
    <w:p w:rsidR="00E80AF2" w:rsidRPr="00EA2B76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A2B76">
        <w:rPr>
          <w:rFonts w:ascii="Arial" w:hAnsi="Arial" w:cs="Arial"/>
          <w:b/>
          <w:sz w:val="36"/>
          <w:szCs w:val="36"/>
        </w:rPr>
        <w:t>projektu zmiany programu</w:t>
      </w:r>
    </w:p>
    <w:p w:rsidR="00E80AF2" w:rsidRPr="00EA2B76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A2B76">
        <w:rPr>
          <w:rFonts w:ascii="Arial" w:hAnsi="Arial" w:cs="Arial"/>
          <w:b/>
          <w:sz w:val="36"/>
          <w:szCs w:val="36"/>
        </w:rPr>
        <w:t>Fundusze Europejskie dla Pomorza 2021-2027</w:t>
      </w:r>
    </w:p>
    <w:p w:rsidR="00E80AF2" w:rsidRPr="00EA2B76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A2B76">
        <w:rPr>
          <w:rFonts w:ascii="Arial" w:hAnsi="Arial" w:cs="Arial"/>
          <w:b/>
          <w:sz w:val="36"/>
          <w:szCs w:val="36"/>
        </w:rPr>
        <w:t>(FEP 21-27)</w:t>
      </w:r>
    </w:p>
    <w:p w:rsidR="00E80AF2" w:rsidRPr="00DB64B9" w:rsidRDefault="00E80AF2" w:rsidP="00E80AF2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73D77">
        <w:rPr>
          <w:rFonts w:ascii="Arial" w:hAnsi="Arial" w:cs="Arial"/>
          <w:sz w:val="32"/>
          <w:szCs w:val="32"/>
        </w:rPr>
        <w:t>które potrwają</w:t>
      </w:r>
      <w:r>
        <w:rPr>
          <w:rFonts w:ascii="Arial" w:hAnsi="Arial" w:cs="Arial"/>
          <w:sz w:val="32"/>
          <w:szCs w:val="32"/>
        </w:rPr>
        <w:t xml:space="preserve"> do</w:t>
      </w:r>
      <w:r w:rsidRPr="00673D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27 listopada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202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5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r.</w:t>
      </w:r>
    </w:p>
    <w:p w:rsidR="00E80AF2" w:rsidRPr="00FE4B93" w:rsidRDefault="00E80AF2" w:rsidP="00E80AF2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b/>
          <w:sz w:val="24"/>
        </w:rPr>
      </w:pPr>
      <w:bookmarkStart w:id="13" w:name="_Toc214017473"/>
      <w:r w:rsidRPr="00FE4B93">
        <w:rPr>
          <w:rFonts w:ascii="Arial" w:hAnsi="Arial" w:cs="Arial"/>
          <w:b/>
          <w:sz w:val="24"/>
        </w:rPr>
        <w:t>Z pełną treścią</w:t>
      </w:r>
      <w:bookmarkEnd w:id="13"/>
      <w:r w:rsidRPr="00FE4B93">
        <w:rPr>
          <w:rFonts w:ascii="Arial" w:hAnsi="Arial" w:cs="Arial"/>
          <w:b/>
          <w:sz w:val="24"/>
        </w:rPr>
        <w:t xml:space="preserve"> </w:t>
      </w:r>
    </w:p>
    <w:p w:rsidR="00E80AF2" w:rsidRPr="00EA2B76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24"/>
        </w:rPr>
      </w:pPr>
      <w:r w:rsidRPr="00EA2B76">
        <w:rPr>
          <w:rFonts w:ascii="Arial" w:hAnsi="Arial" w:cs="Arial"/>
          <w:b/>
          <w:sz w:val="24"/>
        </w:rPr>
        <w:t xml:space="preserve">projektu zmiany programu Fundusze Europejskie dla Pomorza 2021-2027 </w:t>
      </w:r>
    </w:p>
    <w:p w:rsidR="00E80AF2" w:rsidRPr="00EA2B76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24"/>
        </w:rPr>
      </w:pPr>
      <w:r w:rsidRPr="00EA2B76">
        <w:rPr>
          <w:rFonts w:ascii="Arial" w:hAnsi="Arial" w:cs="Arial"/>
          <w:b/>
          <w:sz w:val="24"/>
        </w:rPr>
        <w:t>(FEP 21-27)</w:t>
      </w:r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można zapoznać się na stronie internetowej </w:t>
      </w:r>
    </w:p>
    <w:p w:rsidR="00E80AF2" w:rsidRPr="00C17EF5" w:rsidRDefault="005F279B" w:rsidP="00E80AF2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b/>
          <w:sz w:val="24"/>
        </w:rPr>
      </w:pPr>
      <w:hyperlink r:id="rId20" w:history="1">
        <w:r w:rsidR="00E80AF2" w:rsidRPr="00C17EF5">
          <w:rPr>
            <w:rStyle w:val="Hipercze"/>
            <w:rFonts w:ascii="Arial" w:hAnsi="Arial" w:cs="Arial"/>
            <w:b/>
            <w:sz w:val="24"/>
          </w:rPr>
          <w:t>https://strategia2030.pomorskie.eu/program-fundusze-europejskie-dla-pomorza-2021-2027/</w:t>
        </w:r>
      </w:hyperlink>
      <w:r w:rsidR="00E80AF2" w:rsidRPr="00C17EF5">
        <w:rPr>
          <w:rFonts w:ascii="Arial" w:hAnsi="Arial" w:cs="Arial"/>
          <w:b/>
          <w:sz w:val="24"/>
        </w:rPr>
        <w:t xml:space="preserve"> </w:t>
      </w:r>
    </w:p>
    <w:p w:rsidR="00E80AF2" w:rsidRPr="00FE4B93" w:rsidRDefault="00E80AF2" w:rsidP="00E80AF2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na której zamieszczono dokumenty i informacje związane </w:t>
      </w:r>
    </w:p>
    <w:p w:rsidR="00E80AF2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z procesem konsultacji</w:t>
      </w:r>
      <w:r>
        <w:rPr>
          <w:rFonts w:ascii="Arial" w:hAnsi="Arial" w:cs="Arial"/>
          <w:sz w:val="24"/>
        </w:rPr>
        <w:t>, w tym formularz zgłaszania uwag.</w:t>
      </w:r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i/>
          <w:sz w:val="24"/>
        </w:rPr>
      </w:pPr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outlineLvl w:val="0"/>
        <w:rPr>
          <w:rFonts w:ascii="Arial" w:hAnsi="Arial" w:cs="Arial"/>
          <w:sz w:val="24"/>
        </w:rPr>
      </w:pPr>
      <w:bookmarkStart w:id="14" w:name="_Toc214017474"/>
      <w:r w:rsidRPr="00FE4B93">
        <w:rPr>
          <w:rFonts w:ascii="Arial" w:hAnsi="Arial" w:cs="Arial"/>
          <w:b/>
          <w:sz w:val="24"/>
        </w:rPr>
        <w:t>Opinie i propozycje</w:t>
      </w:r>
      <w:r w:rsidRPr="00FE4B93">
        <w:rPr>
          <w:rFonts w:ascii="Arial" w:hAnsi="Arial" w:cs="Arial"/>
          <w:sz w:val="24"/>
        </w:rPr>
        <w:t xml:space="preserve"> dotyczące dokumentu</w:t>
      </w:r>
      <w:bookmarkEnd w:id="14"/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można przesyłać na adres:</w:t>
      </w:r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Urząd Marszałkowski Województwa Pomorskiego</w:t>
      </w:r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Departament</w:t>
      </w:r>
      <w:r>
        <w:rPr>
          <w:rFonts w:ascii="Arial" w:hAnsi="Arial" w:cs="Arial"/>
          <w:sz w:val="24"/>
        </w:rPr>
        <w:t xml:space="preserve"> Rozwoju Regionalnego i Przestrzennego</w:t>
      </w:r>
    </w:p>
    <w:p w:rsidR="00E80AF2" w:rsidRPr="00FE4B93" w:rsidRDefault="00E80AF2" w:rsidP="00E80AF2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ul. Okopowa 21/27, 80-810 Gdańsk</w:t>
      </w:r>
    </w:p>
    <w:p w:rsidR="00E80AF2" w:rsidRPr="00FE4B93" w:rsidRDefault="00E80AF2" w:rsidP="00E80AF2">
      <w:pPr>
        <w:pStyle w:val="Tekstpodstawowy2"/>
        <w:spacing w:before="3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lub na adres poczty elektronicznej</w:t>
      </w:r>
    </w:p>
    <w:p w:rsidR="00E80AF2" w:rsidRPr="0017566B" w:rsidRDefault="005F279B" w:rsidP="00E80AF2">
      <w:pPr>
        <w:pStyle w:val="NormalnyWeb"/>
        <w:jc w:val="center"/>
        <w:rPr>
          <w:rFonts w:ascii="Arial" w:hAnsi="Arial" w:cs="Arial"/>
          <w:b/>
          <w:color w:val="0000FF"/>
        </w:rPr>
      </w:pPr>
      <w:hyperlink r:id="rId21" w:history="1">
        <w:r w:rsidR="00E80AF2" w:rsidRPr="003A2936">
          <w:rPr>
            <w:rStyle w:val="Hipercze"/>
            <w:rFonts w:ascii="Arial" w:hAnsi="Arial" w:cs="Arial"/>
            <w:b/>
          </w:rPr>
          <w:t>fep21-27@pomorskie.eu</w:t>
        </w:r>
      </w:hyperlink>
    </w:p>
    <w:p w:rsidR="00E80AF2" w:rsidRPr="00FE4B93" w:rsidRDefault="00E80AF2" w:rsidP="00E80AF2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24"/>
          <w:u w:val="single"/>
        </w:rPr>
      </w:pPr>
      <w:r w:rsidRPr="00FE4B93">
        <w:rPr>
          <w:rFonts w:ascii="Arial" w:hAnsi="Arial" w:cs="Arial"/>
          <w:b/>
          <w:color w:val="FF0000"/>
          <w:sz w:val="24"/>
          <w:u w:val="single"/>
        </w:rPr>
        <w:t xml:space="preserve">w terminie do </w:t>
      </w:r>
      <w:r>
        <w:rPr>
          <w:rFonts w:ascii="Arial" w:hAnsi="Arial" w:cs="Arial"/>
          <w:b/>
          <w:color w:val="FF0000"/>
          <w:sz w:val="24"/>
          <w:u w:val="single"/>
        </w:rPr>
        <w:t xml:space="preserve">27 listopada 2025 </w:t>
      </w:r>
      <w:r w:rsidRPr="00FE4B93">
        <w:rPr>
          <w:rFonts w:ascii="Arial" w:hAnsi="Arial" w:cs="Arial"/>
          <w:b/>
          <w:color w:val="FF0000"/>
          <w:sz w:val="24"/>
          <w:u w:val="single"/>
        </w:rPr>
        <w:t>r.</w:t>
      </w:r>
    </w:p>
    <w:p w:rsidR="00E80AF2" w:rsidRPr="0017566B" w:rsidRDefault="00E80AF2" w:rsidP="00E80AF2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i/>
          <w:sz w:val="24"/>
        </w:rPr>
      </w:pPr>
      <w:bookmarkStart w:id="15" w:name="_Toc214017475"/>
      <w:r w:rsidRPr="0017566B">
        <w:rPr>
          <w:rFonts w:ascii="Arial" w:hAnsi="Arial" w:cs="Arial"/>
          <w:i/>
          <w:sz w:val="24"/>
        </w:rPr>
        <w:t xml:space="preserve">Uwagi będą przyjmowane wyłącznie w wersji elektronicznej </w:t>
      </w:r>
      <w:r>
        <w:rPr>
          <w:rFonts w:ascii="Arial" w:hAnsi="Arial" w:cs="Arial"/>
          <w:i/>
          <w:sz w:val="24"/>
        </w:rPr>
        <w:t>lub</w:t>
      </w:r>
      <w:r w:rsidRPr="0017566B">
        <w:rPr>
          <w:rFonts w:ascii="Arial" w:hAnsi="Arial" w:cs="Arial"/>
          <w:i/>
          <w:sz w:val="24"/>
        </w:rPr>
        <w:t xml:space="preserve"> pisemnej</w:t>
      </w:r>
      <w:r>
        <w:rPr>
          <w:rFonts w:ascii="Arial" w:hAnsi="Arial" w:cs="Arial"/>
          <w:i/>
          <w:sz w:val="24"/>
        </w:rPr>
        <w:t>.</w:t>
      </w:r>
      <w:bookmarkEnd w:id="15"/>
    </w:p>
    <w:p w:rsidR="0011433A" w:rsidRPr="00435417" w:rsidRDefault="0011433A" w:rsidP="00E80AF2">
      <w:pPr>
        <w:jc w:val="center"/>
      </w:pPr>
    </w:p>
    <w:sectPr w:rsidR="0011433A" w:rsidRPr="00435417" w:rsidSect="0072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268" w:rsidRDefault="00854268" w:rsidP="003E4325">
      <w:pPr>
        <w:spacing w:after="0" w:line="240" w:lineRule="auto"/>
      </w:pPr>
      <w:r>
        <w:separator/>
      </w:r>
    </w:p>
  </w:endnote>
  <w:endnote w:type="continuationSeparator" w:id="0">
    <w:p w:rsidR="00854268" w:rsidRDefault="00854268" w:rsidP="003E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500856"/>
      <w:docPartObj>
        <w:docPartGallery w:val="Page Numbers (Bottom of Page)"/>
        <w:docPartUnique/>
      </w:docPartObj>
    </w:sdtPr>
    <w:sdtEndPr/>
    <w:sdtContent>
      <w:p w:rsidR="004871A0" w:rsidRDefault="004871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94C">
          <w:rPr>
            <w:noProof/>
          </w:rPr>
          <w:t>18</w:t>
        </w:r>
        <w:r>
          <w:fldChar w:fldCharType="end"/>
        </w:r>
      </w:p>
    </w:sdtContent>
  </w:sdt>
  <w:p w:rsidR="004871A0" w:rsidRDefault="00487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268" w:rsidRDefault="00854268" w:rsidP="003E4325">
      <w:pPr>
        <w:spacing w:after="0" w:line="240" w:lineRule="auto"/>
      </w:pPr>
      <w:r>
        <w:separator/>
      </w:r>
    </w:p>
  </w:footnote>
  <w:footnote w:type="continuationSeparator" w:id="0">
    <w:p w:rsidR="00854268" w:rsidRDefault="00854268" w:rsidP="003E4325">
      <w:pPr>
        <w:spacing w:after="0" w:line="240" w:lineRule="auto"/>
      </w:pPr>
      <w:r>
        <w:continuationSeparator/>
      </w:r>
    </w:p>
  </w:footnote>
  <w:footnote w:id="1">
    <w:p w:rsidR="00FB531C" w:rsidRDefault="00FB531C" w:rsidP="00FB531C">
      <w:pPr>
        <w:pStyle w:val="Tekstprzypisudolnego"/>
      </w:pPr>
      <w:r w:rsidRPr="00FB531C">
        <w:rPr>
          <w:rStyle w:val="Odwoanieprzypisudolnego"/>
        </w:rPr>
        <w:footnoteRef/>
      </w:r>
      <w:r w:rsidRPr="00FB531C">
        <w:t xml:space="preserve"> Uchwała Nr 1269/132/25 Zarządu Województwa Pomorskiego z dnia 23 października 2025 r.</w:t>
      </w:r>
    </w:p>
  </w:footnote>
  <w:footnote w:id="2">
    <w:p w:rsidR="00542004" w:rsidRDefault="00542004">
      <w:pPr>
        <w:pStyle w:val="Tekstprzypisudolnego"/>
      </w:pPr>
      <w:r>
        <w:rPr>
          <w:rStyle w:val="Odwoanieprzypisudolnego"/>
        </w:rPr>
        <w:footnoteRef/>
      </w:r>
      <w:r>
        <w:t xml:space="preserve"> Formularz konsultacyjny stanowi załącznik nr </w:t>
      </w:r>
      <w:r w:rsidR="00213A44">
        <w:t>2</w:t>
      </w:r>
      <w:r>
        <w:t xml:space="preserve"> do niniejszego dokumentu. </w:t>
      </w:r>
    </w:p>
  </w:footnote>
  <w:footnote w:id="3">
    <w:p w:rsidR="00542004" w:rsidRDefault="00542004">
      <w:pPr>
        <w:pStyle w:val="Tekstprzypisudolnego"/>
      </w:pPr>
      <w:r>
        <w:rPr>
          <w:rStyle w:val="Odwoanieprzypisudolnego"/>
        </w:rPr>
        <w:footnoteRef/>
      </w:r>
      <w:r>
        <w:t xml:space="preserve"> Ogłoszenie prasowe (Gazeta Wyborcza) stanowi załącznik nr </w:t>
      </w:r>
      <w:r w:rsidR="00213A44">
        <w:t>3</w:t>
      </w:r>
      <w:r>
        <w:t xml:space="preserve"> do dokumentu</w:t>
      </w:r>
      <w:r w:rsidR="00213A4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D95" w:rsidRDefault="00727D95" w:rsidP="00727D95">
    <w:pPr>
      <w:pStyle w:val="Nagwek"/>
      <w:jc w:val="right"/>
    </w:pPr>
    <w:r>
      <w:t xml:space="preserve">Załącznik nr 1 do Uchwały Nr </w:t>
    </w:r>
    <w:r w:rsidR="006B58D9">
      <w:t>1420/142</w:t>
    </w:r>
    <w:r>
      <w:t>/25</w:t>
    </w:r>
  </w:p>
  <w:p w:rsidR="00727D95" w:rsidRDefault="00727D95" w:rsidP="00727D95">
    <w:pPr>
      <w:pStyle w:val="Nagwek"/>
      <w:jc w:val="right"/>
    </w:pPr>
    <w:r>
      <w:t xml:space="preserve">Zarządu Województwa Pomorskiego </w:t>
    </w:r>
  </w:p>
  <w:p w:rsidR="00727D95" w:rsidRDefault="009174FE" w:rsidP="00727D95">
    <w:pPr>
      <w:pStyle w:val="Nagwek"/>
      <w:jc w:val="right"/>
    </w:pPr>
    <w:r>
      <w:t>z</w:t>
    </w:r>
    <w:r w:rsidR="00727D95">
      <w:t xml:space="preserve"> dnia </w:t>
    </w:r>
    <w:r w:rsidR="006B58D9">
      <w:t>28</w:t>
    </w:r>
    <w:r w:rsidR="00727D95">
      <w:t xml:space="preserve"> </w:t>
    </w:r>
    <w:r w:rsidR="00970F3A">
      <w:t>listopada</w:t>
    </w:r>
    <w:r w:rsidR="00727D95">
      <w:t xml:space="preserve">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12A"/>
    <w:multiLevelType w:val="hybridMultilevel"/>
    <w:tmpl w:val="FBA81C88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5F94"/>
    <w:multiLevelType w:val="hybridMultilevel"/>
    <w:tmpl w:val="F1B0B0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C09D1"/>
    <w:multiLevelType w:val="hybridMultilevel"/>
    <w:tmpl w:val="1E4CA7C6"/>
    <w:lvl w:ilvl="0" w:tplc="B9126D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94B3B"/>
    <w:multiLevelType w:val="hybridMultilevel"/>
    <w:tmpl w:val="9CF6154E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5ABA"/>
    <w:multiLevelType w:val="hybridMultilevel"/>
    <w:tmpl w:val="38B60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2F4"/>
    <w:multiLevelType w:val="hybridMultilevel"/>
    <w:tmpl w:val="17EE66D0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E7C0B"/>
    <w:multiLevelType w:val="hybridMultilevel"/>
    <w:tmpl w:val="EC8670B0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1E2D"/>
    <w:multiLevelType w:val="hybridMultilevel"/>
    <w:tmpl w:val="DB9C9B34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20C09"/>
    <w:multiLevelType w:val="hybridMultilevel"/>
    <w:tmpl w:val="AA84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1A80"/>
    <w:multiLevelType w:val="hybridMultilevel"/>
    <w:tmpl w:val="96EA3472"/>
    <w:lvl w:ilvl="0" w:tplc="724082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E067EA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14225"/>
    <w:multiLevelType w:val="hybridMultilevel"/>
    <w:tmpl w:val="D15AFBB2"/>
    <w:lvl w:ilvl="0" w:tplc="8A72A65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93EC0"/>
    <w:multiLevelType w:val="hybridMultilevel"/>
    <w:tmpl w:val="2A568ED6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16F66178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6D3169"/>
    <w:multiLevelType w:val="hybridMultilevel"/>
    <w:tmpl w:val="A45E5714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E1C46"/>
    <w:multiLevelType w:val="hybridMultilevel"/>
    <w:tmpl w:val="5DCCB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0938CE"/>
    <w:multiLevelType w:val="hybridMultilevel"/>
    <w:tmpl w:val="CE529E9A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303F"/>
    <w:multiLevelType w:val="hybridMultilevel"/>
    <w:tmpl w:val="F9668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C0EF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F6FA8"/>
    <w:multiLevelType w:val="hybridMultilevel"/>
    <w:tmpl w:val="B8EA633E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2AEE"/>
    <w:multiLevelType w:val="hybridMultilevel"/>
    <w:tmpl w:val="40DEE20C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65AF"/>
    <w:multiLevelType w:val="hybridMultilevel"/>
    <w:tmpl w:val="B6381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C5FF5"/>
    <w:multiLevelType w:val="hybridMultilevel"/>
    <w:tmpl w:val="F924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F5B7C"/>
    <w:multiLevelType w:val="hybridMultilevel"/>
    <w:tmpl w:val="9884A4C2"/>
    <w:lvl w:ilvl="0" w:tplc="575CE7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EF2527"/>
    <w:multiLevelType w:val="hybridMultilevel"/>
    <w:tmpl w:val="75EE8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8710E"/>
    <w:multiLevelType w:val="hybridMultilevel"/>
    <w:tmpl w:val="CF64CC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2841A6"/>
    <w:multiLevelType w:val="hybridMultilevel"/>
    <w:tmpl w:val="36B05016"/>
    <w:lvl w:ilvl="0" w:tplc="724082A4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 w:tplc="ACE2FE70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0"/>
  </w:num>
  <w:num w:numId="3">
    <w:abstractNumId w:val="25"/>
    <w:lvlOverride w:ilvl="0">
      <w:startOverride w:val="1"/>
    </w:lvlOverride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17"/>
  </w:num>
  <w:num w:numId="9">
    <w:abstractNumId w:val="22"/>
  </w:num>
  <w:num w:numId="10">
    <w:abstractNumId w:val="21"/>
  </w:num>
  <w:num w:numId="11">
    <w:abstractNumId w:val="3"/>
  </w:num>
  <w:num w:numId="12">
    <w:abstractNumId w:val="18"/>
  </w:num>
  <w:num w:numId="13">
    <w:abstractNumId w:val="19"/>
  </w:num>
  <w:num w:numId="14">
    <w:abstractNumId w:val="8"/>
  </w:num>
  <w:num w:numId="15">
    <w:abstractNumId w:val="5"/>
  </w:num>
  <w:num w:numId="16">
    <w:abstractNumId w:val="16"/>
  </w:num>
  <w:num w:numId="17">
    <w:abstractNumId w:val="7"/>
  </w:num>
  <w:num w:numId="18">
    <w:abstractNumId w:val="10"/>
  </w:num>
  <w:num w:numId="19">
    <w:abstractNumId w:val="13"/>
  </w:num>
  <w:num w:numId="20">
    <w:abstractNumId w:val="0"/>
  </w:num>
  <w:num w:numId="21">
    <w:abstractNumId w:val="23"/>
  </w:num>
  <w:num w:numId="22">
    <w:abstractNumId w:val="14"/>
  </w:num>
  <w:num w:numId="23">
    <w:abstractNumId w:val="1"/>
  </w:num>
  <w:num w:numId="24">
    <w:abstractNumId w:val="24"/>
  </w:num>
  <w:num w:numId="25">
    <w:abstractNumId w:val="11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5-02-06"/>
    <w:docVar w:name="LE_Links" w:val="{9C5DC7D7-CD0E-4DD2-920F-A0D933A9F2AC}"/>
  </w:docVars>
  <w:rsids>
    <w:rsidRoot w:val="003264B8"/>
    <w:rsid w:val="000437F4"/>
    <w:rsid w:val="00052DF8"/>
    <w:rsid w:val="00061230"/>
    <w:rsid w:val="0008292A"/>
    <w:rsid w:val="00096FA3"/>
    <w:rsid w:val="000A057E"/>
    <w:rsid w:val="000A094C"/>
    <w:rsid w:val="000B51C0"/>
    <w:rsid w:val="000C40E0"/>
    <w:rsid w:val="000D7F0D"/>
    <w:rsid w:val="000F7402"/>
    <w:rsid w:val="0011433A"/>
    <w:rsid w:val="00120A30"/>
    <w:rsid w:val="00125D5A"/>
    <w:rsid w:val="00197BD4"/>
    <w:rsid w:val="001A0007"/>
    <w:rsid w:val="001C3274"/>
    <w:rsid w:val="001D120F"/>
    <w:rsid w:val="001D3596"/>
    <w:rsid w:val="001D42BD"/>
    <w:rsid w:val="00200C13"/>
    <w:rsid w:val="00213A44"/>
    <w:rsid w:val="00222CAB"/>
    <w:rsid w:val="00224824"/>
    <w:rsid w:val="00264F07"/>
    <w:rsid w:val="002832A7"/>
    <w:rsid w:val="00283D8F"/>
    <w:rsid w:val="00286F25"/>
    <w:rsid w:val="00290B9F"/>
    <w:rsid w:val="00293EA9"/>
    <w:rsid w:val="002B25DF"/>
    <w:rsid w:val="002E26D9"/>
    <w:rsid w:val="00301BAC"/>
    <w:rsid w:val="003154CD"/>
    <w:rsid w:val="003264B8"/>
    <w:rsid w:val="00331083"/>
    <w:rsid w:val="00332192"/>
    <w:rsid w:val="00354EE2"/>
    <w:rsid w:val="00363266"/>
    <w:rsid w:val="003679AD"/>
    <w:rsid w:val="0038297C"/>
    <w:rsid w:val="0038387B"/>
    <w:rsid w:val="00384652"/>
    <w:rsid w:val="00385504"/>
    <w:rsid w:val="00386B58"/>
    <w:rsid w:val="003A1476"/>
    <w:rsid w:val="003B7313"/>
    <w:rsid w:val="003E0E96"/>
    <w:rsid w:val="003E4325"/>
    <w:rsid w:val="00402964"/>
    <w:rsid w:val="00405317"/>
    <w:rsid w:val="004140FA"/>
    <w:rsid w:val="00423668"/>
    <w:rsid w:val="00430628"/>
    <w:rsid w:val="00435417"/>
    <w:rsid w:val="004466CD"/>
    <w:rsid w:val="00452587"/>
    <w:rsid w:val="00453D2F"/>
    <w:rsid w:val="00457E9A"/>
    <w:rsid w:val="00483839"/>
    <w:rsid w:val="004871A0"/>
    <w:rsid w:val="004B0CEF"/>
    <w:rsid w:val="004C7708"/>
    <w:rsid w:val="004D3047"/>
    <w:rsid w:val="004D4271"/>
    <w:rsid w:val="004E488E"/>
    <w:rsid w:val="00536EE8"/>
    <w:rsid w:val="00542004"/>
    <w:rsid w:val="00543EB7"/>
    <w:rsid w:val="00557D17"/>
    <w:rsid w:val="00570E6D"/>
    <w:rsid w:val="005776F5"/>
    <w:rsid w:val="005805DB"/>
    <w:rsid w:val="00594AED"/>
    <w:rsid w:val="005A3B7E"/>
    <w:rsid w:val="005B2DCE"/>
    <w:rsid w:val="005C0EAE"/>
    <w:rsid w:val="005E7B95"/>
    <w:rsid w:val="005F279B"/>
    <w:rsid w:val="00605AA1"/>
    <w:rsid w:val="00633010"/>
    <w:rsid w:val="00636EED"/>
    <w:rsid w:val="00644E13"/>
    <w:rsid w:val="00651A36"/>
    <w:rsid w:val="00662AF6"/>
    <w:rsid w:val="0066374C"/>
    <w:rsid w:val="0066453E"/>
    <w:rsid w:val="00677D7F"/>
    <w:rsid w:val="006916BC"/>
    <w:rsid w:val="00691A05"/>
    <w:rsid w:val="00695420"/>
    <w:rsid w:val="006B58D9"/>
    <w:rsid w:val="006E27FA"/>
    <w:rsid w:val="006E3823"/>
    <w:rsid w:val="006F1D3B"/>
    <w:rsid w:val="00703541"/>
    <w:rsid w:val="00713534"/>
    <w:rsid w:val="007248B2"/>
    <w:rsid w:val="00727D95"/>
    <w:rsid w:val="00754691"/>
    <w:rsid w:val="00766106"/>
    <w:rsid w:val="00773287"/>
    <w:rsid w:val="00784C41"/>
    <w:rsid w:val="00792E1C"/>
    <w:rsid w:val="007943BA"/>
    <w:rsid w:val="007A0994"/>
    <w:rsid w:val="00804B4A"/>
    <w:rsid w:val="00805FE9"/>
    <w:rsid w:val="00820971"/>
    <w:rsid w:val="0082768F"/>
    <w:rsid w:val="00844426"/>
    <w:rsid w:val="00846AB4"/>
    <w:rsid w:val="00854268"/>
    <w:rsid w:val="0085790E"/>
    <w:rsid w:val="0086044F"/>
    <w:rsid w:val="00865BE9"/>
    <w:rsid w:val="008761B9"/>
    <w:rsid w:val="0088592E"/>
    <w:rsid w:val="00895C20"/>
    <w:rsid w:val="008A6083"/>
    <w:rsid w:val="008B50E5"/>
    <w:rsid w:val="009174FE"/>
    <w:rsid w:val="0092233A"/>
    <w:rsid w:val="00932681"/>
    <w:rsid w:val="00935BDC"/>
    <w:rsid w:val="009634DF"/>
    <w:rsid w:val="00966E75"/>
    <w:rsid w:val="00970F3A"/>
    <w:rsid w:val="00983CBE"/>
    <w:rsid w:val="00983FEE"/>
    <w:rsid w:val="00992F3A"/>
    <w:rsid w:val="00993CD5"/>
    <w:rsid w:val="009B1502"/>
    <w:rsid w:val="009C37E0"/>
    <w:rsid w:val="009E371F"/>
    <w:rsid w:val="009F31CC"/>
    <w:rsid w:val="009F5D81"/>
    <w:rsid w:val="00A075F4"/>
    <w:rsid w:val="00A16926"/>
    <w:rsid w:val="00A21D7A"/>
    <w:rsid w:val="00A305E1"/>
    <w:rsid w:val="00A33237"/>
    <w:rsid w:val="00A4595C"/>
    <w:rsid w:val="00A4636F"/>
    <w:rsid w:val="00A572A8"/>
    <w:rsid w:val="00A60C9D"/>
    <w:rsid w:val="00A73719"/>
    <w:rsid w:val="00A87C40"/>
    <w:rsid w:val="00AA2116"/>
    <w:rsid w:val="00AB5128"/>
    <w:rsid w:val="00AD0A3E"/>
    <w:rsid w:val="00AD68CB"/>
    <w:rsid w:val="00AD78E5"/>
    <w:rsid w:val="00B124C7"/>
    <w:rsid w:val="00B14F5E"/>
    <w:rsid w:val="00B74D44"/>
    <w:rsid w:val="00BA6FAC"/>
    <w:rsid w:val="00BB2E59"/>
    <w:rsid w:val="00BC48DF"/>
    <w:rsid w:val="00BE4C07"/>
    <w:rsid w:val="00BE7135"/>
    <w:rsid w:val="00C03795"/>
    <w:rsid w:val="00C0721A"/>
    <w:rsid w:val="00C43B89"/>
    <w:rsid w:val="00C43F08"/>
    <w:rsid w:val="00C55560"/>
    <w:rsid w:val="00C63466"/>
    <w:rsid w:val="00C758CF"/>
    <w:rsid w:val="00C94F5A"/>
    <w:rsid w:val="00CA1BAC"/>
    <w:rsid w:val="00CB5B69"/>
    <w:rsid w:val="00CC35AE"/>
    <w:rsid w:val="00CD5D6B"/>
    <w:rsid w:val="00CE04F5"/>
    <w:rsid w:val="00CE7932"/>
    <w:rsid w:val="00D1432E"/>
    <w:rsid w:val="00D14FDD"/>
    <w:rsid w:val="00D21D06"/>
    <w:rsid w:val="00D7249A"/>
    <w:rsid w:val="00D73FCE"/>
    <w:rsid w:val="00D755CD"/>
    <w:rsid w:val="00D82D5F"/>
    <w:rsid w:val="00D846E2"/>
    <w:rsid w:val="00D92257"/>
    <w:rsid w:val="00D97730"/>
    <w:rsid w:val="00DA0516"/>
    <w:rsid w:val="00DA544E"/>
    <w:rsid w:val="00DC58F9"/>
    <w:rsid w:val="00E03B04"/>
    <w:rsid w:val="00E1001A"/>
    <w:rsid w:val="00E16EC3"/>
    <w:rsid w:val="00E20528"/>
    <w:rsid w:val="00E208EF"/>
    <w:rsid w:val="00E222C6"/>
    <w:rsid w:val="00E318D9"/>
    <w:rsid w:val="00E4040F"/>
    <w:rsid w:val="00E53099"/>
    <w:rsid w:val="00E626B9"/>
    <w:rsid w:val="00E80AF2"/>
    <w:rsid w:val="00E9765C"/>
    <w:rsid w:val="00EB0053"/>
    <w:rsid w:val="00EB615A"/>
    <w:rsid w:val="00ED5338"/>
    <w:rsid w:val="00EE0EDA"/>
    <w:rsid w:val="00EE284B"/>
    <w:rsid w:val="00EE5489"/>
    <w:rsid w:val="00EF5F00"/>
    <w:rsid w:val="00F03EF1"/>
    <w:rsid w:val="00F22F67"/>
    <w:rsid w:val="00F256A7"/>
    <w:rsid w:val="00F3272D"/>
    <w:rsid w:val="00F42478"/>
    <w:rsid w:val="00F53C5A"/>
    <w:rsid w:val="00F61D2A"/>
    <w:rsid w:val="00F67729"/>
    <w:rsid w:val="00F820A9"/>
    <w:rsid w:val="00F94643"/>
    <w:rsid w:val="00FB1825"/>
    <w:rsid w:val="00FB531C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371E01"/>
  <w15:chartTrackingRefBased/>
  <w15:docId w15:val="{A0DA7541-CCF1-4FE3-A3EE-6B1A7E76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7F4"/>
  </w:style>
  <w:style w:type="paragraph" w:styleId="Nagwek1">
    <w:name w:val="heading 1"/>
    <w:basedOn w:val="Normalny"/>
    <w:next w:val="Normalny"/>
    <w:link w:val="Nagwek1Znak"/>
    <w:uiPriority w:val="9"/>
    <w:qFormat/>
    <w:rsid w:val="00D755CD"/>
    <w:pPr>
      <w:keepNext/>
      <w:keepLines/>
      <w:numPr>
        <w:numId w:val="1"/>
      </w:numPr>
      <w:spacing w:before="240" w:after="120"/>
      <w:ind w:left="425" w:hanging="425"/>
      <w:outlineLvl w:val="0"/>
    </w:pPr>
    <w:rPr>
      <w:rFonts w:eastAsiaTheme="majorEastAsia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433A"/>
    <w:pPr>
      <w:keepNext/>
      <w:keepLines/>
      <w:spacing w:before="120" w:after="240"/>
      <w:outlineLvl w:val="1"/>
    </w:pPr>
    <w:rPr>
      <w:rFonts w:eastAsiaTheme="majorEastAsia" w:cstheme="minorHAns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325"/>
  </w:style>
  <w:style w:type="paragraph" w:styleId="Stopka">
    <w:name w:val="footer"/>
    <w:basedOn w:val="Normalny"/>
    <w:link w:val="StopkaZnak"/>
    <w:uiPriority w:val="99"/>
    <w:unhideWhenUsed/>
    <w:rsid w:val="003E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25"/>
  </w:style>
  <w:style w:type="paragraph" w:styleId="Tytu">
    <w:name w:val="Title"/>
    <w:basedOn w:val="Normalny"/>
    <w:next w:val="Normalny"/>
    <w:link w:val="TytuZnak"/>
    <w:uiPriority w:val="10"/>
    <w:qFormat/>
    <w:rsid w:val="00E318D9"/>
    <w:pPr>
      <w:spacing w:before="6000" w:after="0" w:line="240" w:lineRule="auto"/>
      <w:contextualSpacing/>
    </w:pPr>
    <w:rPr>
      <w:rFonts w:eastAsiaTheme="majorEastAsia" w:cstheme="minorHAns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8D9"/>
    <w:rPr>
      <w:rFonts w:eastAsiaTheme="majorEastAsia" w:cstheme="minorHAnsi"/>
      <w:b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755CD"/>
    <w:rPr>
      <w:rFonts w:eastAsiaTheme="majorEastAsia" w:cstheme="minorHAnsi"/>
      <w:b/>
      <w:sz w:val="32"/>
      <w:szCs w:val="32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,Paragraph"/>
    <w:basedOn w:val="Normalny"/>
    <w:link w:val="AkapitzlistZnak"/>
    <w:uiPriority w:val="34"/>
    <w:qFormat/>
    <w:rsid w:val="003E4325"/>
    <w:pPr>
      <w:ind w:left="720"/>
      <w:contextualSpacing/>
    </w:pPr>
  </w:style>
  <w:style w:type="paragraph" w:styleId="Bezodstpw">
    <w:name w:val="No Spacing"/>
    <w:uiPriority w:val="1"/>
    <w:qFormat/>
    <w:rsid w:val="003E4325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E432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55560"/>
    <w:pPr>
      <w:tabs>
        <w:tab w:val="left" w:pos="426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3E432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8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8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18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8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8D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4C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1433A"/>
    <w:rPr>
      <w:rFonts w:eastAsiaTheme="majorEastAsia" w:cstheme="minorHAnsi"/>
      <w:b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435417"/>
    <w:pPr>
      <w:spacing w:after="100"/>
      <w:ind w:left="220"/>
    </w:pPr>
  </w:style>
  <w:style w:type="table" w:styleId="Tabela-Siatka">
    <w:name w:val="Table Grid"/>
    <w:basedOn w:val="Standardowy"/>
    <w:uiPriority w:val="39"/>
    <w:rsid w:val="0043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1143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1433A"/>
    <w:pPr>
      <w:spacing w:after="0" w:line="300" w:lineRule="exac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433A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C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7B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listy1jasnaakcent3">
    <w:name w:val="List Table 1 Light Accent 3"/>
    <w:basedOn w:val="Standardowy"/>
    <w:uiPriority w:val="46"/>
    <w:rsid w:val="00264F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DA544E"/>
    <w:rPr>
      <w:color w:val="605E5C"/>
      <w:shd w:val="clear" w:color="auto" w:fill="E1DFDD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link w:val="Akapitzlist"/>
    <w:uiPriority w:val="34"/>
    <w:qFormat/>
    <w:locked/>
    <w:rsid w:val="001D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uepomorskie.pl" TargetMode="External"/><Relationship Id="rId18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fep21-27@pomorskie.e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rategia2030.pomorskie.eu" TargetMode="External"/><Relationship Id="rId17" Type="http://schemas.openxmlformats.org/officeDocument/2006/relationships/hyperlink" Target="mailto:fep21-27@pomorskie.e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strategia2030.pomorskie.eu/program-fundusze-europejskie-dla-pomorza-2021-202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FEP21-27@pomorskie.e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fep21-27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FEP21-27@pomorskie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C7D7-CD0E-4DD2-920F-A0D933A9F2A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FF9F6D-EEC2-41C6-85C2-132641A4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3554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Kuźma Julia</dc:creator>
  <cp:keywords/>
  <dc:description/>
  <cp:lastModifiedBy>Kuźma Julia</cp:lastModifiedBy>
  <cp:revision>6</cp:revision>
  <dcterms:created xsi:type="dcterms:W3CDTF">2025-11-28T08:36:00Z</dcterms:created>
  <dcterms:modified xsi:type="dcterms:W3CDTF">2025-11-28T13:42:00Z</dcterms:modified>
</cp:coreProperties>
</file>