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99" w:rsidRPr="002D117B" w:rsidRDefault="00C47AFF" w:rsidP="002D117B">
      <w:pPr>
        <w:pStyle w:val="Nagwek2"/>
        <w:rPr>
          <w:sz w:val="24"/>
          <w:szCs w:val="24"/>
          <w:lang w:val="pl-PL"/>
        </w:rPr>
      </w:pPr>
      <w:r>
        <w:rPr>
          <w:sz w:val="24"/>
          <w:szCs w:val="24"/>
        </w:rPr>
        <w:t>Załącznik nr 3</w:t>
      </w:r>
      <w:r w:rsidR="00D15C4B" w:rsidRPr="002D117B">
        <w:rPr>
          <w:sz w:val="24"/>
          <w:szCs w:val="24"/>
        </w:rPr>
        <w:t xml:space="preserve"> </w:t>
      </w:r>
      <w:r w:rsidR="00020926" w:rsidRPr="002D117B">
        <w:rPr>
          <w:sz w:val="24"/>
          <w:szCs w:val="24"/>
          <w:lang w:val="pl-PL"/>
        </w:rPr>
        <w:t xml:space="preserve">do </w:t>
      </w:r>
      <w:r>
        <w:rPr>
          <w:sz w:val="24"/>
          <w:szCs w:val="24"/>
          <w:lang w:val="pl-PL"/>
        </w:rPr>
        <w:t xml:space="preserve">Podsumowania do RPS </w:t>
      </w:r>
      <w:proofErr w:type="spellStart"/>
      <w:r w:rsidR="00357E78">
        <w:rPr>
          <w:sz w:val="24"/>
          <w:szCs w:val="24"/>
          <w:lang w:val="pl-PL"/>
        </w:rPr>
        <w:t>B</w:t>
      </w:r>
      <w:bookmarkStart w:id="0" w:name="_GoBack"/>
      <w:bookmarkEnd w:id="0"/>
      <w:r>
        <w:rPr>
          <w:sz w:val="24"/>
          <w:szCs w:val="24"/>
          <w:lang w:val="pl-PL"/>
        </w:rPr>
        <w:t>ŚiE</w:t>
      </w:r>
      <w:proofErr w:type="spellEnd"/>
    </w:p>
    <w:p w:rsidR="00C53084" w:rsidRPr="002D117B" w:rsidRDefault="000355B4" w:rsidP="000355B4">
      <w:pPr>
        <w:pStyle w:val="Nagwek1"/>
      </w:pPr>
      <w:r w:rsidRPr="000355B4">
        <w:t>Sposób i zakres uwzględnienia uwag i wniosków do projektu Regionalnego Programu Strategicznego w zakresie bezpieczeństwa środowiskowego i energetycznego zgłoszonych w związku z</w:t>
      </w:r>
      <w:r>
        <w:t> </w:t>
      </w:r>
      <w:r w:rsidRPr="000355B4">
        <w:t>udziałem społeczeństwa na podstawie art. 54 ust. 2 ustawy z dnia 3 października 2008 r. o udostępnianiu informacji o środowisku i jego ochronie, udziale społeczeństwa w ochronie środowiska oraz o ocenach oddziaływania na środowisko</w:t>
      </w:r>
    </w:p>
    <w:p w:rsidR="00FE21FD" w:rsidRPr="002D117B" w:rsidRDefault="00FE21FD" w:rsidP="002D117B">
      <w:pPr>
        <w:rPr>
          <w:lang w:eastAsia="en-US"/>
        </w:rPr>
      </w:pPr>
    </w:p>
    <w:tbl>
      <w:tblPr>
        <w:tblW w:w="21972" w:type="dxa"/>
        <w:tblInd w:w="-5" w:type="dxa"/>
        <w:tblCellMar>
          <w:left w:w="70" w:type="dxa"/>
          <w:right w:w="70" w:type="dxa"/>
        </w:tblCellMar>
        <w:tblLook w:val="04A0" w:firstRow="1" w:lastRow="0" w:firstColumn="1" w:lastColumn="0" w:noHBand="0" w:noVBand="1"/>
      </w:tblPr>
      <w:tblGrid>
        <w:gridCol w:w="444"/>
        <w:gridCol w:w="1235"/>
        <w:gridCol w:w="1628"/>
        <w:gridCol w:w="1050"/>
        <w:gridCol w:w="1967"/>
        <w:gridCol w:w="799"/>
        <w:gridCol w:w="6278"/>
        <w:gridCol w:w="2909"/>
        <w:gridCol w:w="5662"/>
      </w:tblGrid>
      <w:tr w:rsidR="00FF0084" w:rsidRPr="002D117B" w:rsidTr="0026570A">
        <w:trPr>
          <w:trHeight w:val="1185"/>
          <w:tblHeader/>
        </w:trPr>
        <w:tc>
          <w:tcPr>
            <w:tcW w:w="41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Lp.</w:t>
            </w:r>
          </w:p>
        </w:tc>
        <w:tc>
          <w:tcPr>
            <w:tcW w:w="114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Data wpływu</w:t>
            </w:r>
          </w:p>
        </w:tc>
        <w:tc>
          <w:tcPr>
            <w:tcW w:w="150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Od kogo</w:t>
            </w:r>
          </w:p>
        </w:tc>
        <w:tc>
          <w:tcPr>
            <w:tcW w:w="97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Priorytet</w:t>
            </w:r>
          </w:p>
        </w:tc>
        <w:tc>
          <w:tcPr>
            <w:tcW w:w="1978"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 xml:space="preserve">Zapis w projekcie Regionalnego Programu Strategicznego w zakresie bezpieczeństwa środowiskowego i energetycznego,  </w:t>
            </w:r>
            <w:r w:rsidR="002D117B" w:rsidRPr="002D117B">
              <w:rPr>
                <w:rFonts w:asciiTheme="minorHAnsi" w:hAnsiTheme="minorHAnsi" w:cstheme="minorHAnsi"/>
                <w:b/>
                <w:bCs/>
                <w:color w:val="283E1A"/>
                <w:sz w:val="24"/>
                <w:szCs w:val="24"/>
              </w:rPr>
              <w:t>do którego zgłaszane są uwagi</w:t>
            </w:r>
          </w:p>
        </w:tc>
        <w:tc>
          <w:tcPr>
            <w:tcW w:w="74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Strona</w:t>
            </w:r>
          </w:p>
        </w:tc>
        <w:tc>
          <w:tcPr>
            <w:tcW w:w="6278"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Sugerowana zmiana (konkretna propozycja nowego brzmienia zapisu)</w:t>
            </w:r>
          </w:p>
        </w:tc>
        <w:tc>
          <w:tcPr>
            <w:tcW w:w="2977"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Uzasadnienie</w:t>
            </w:r>
          </w:p>
        </w:tc>
        <w:tc>
          <w:tcPr>
            <w:tcW w:w="595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Odpowiedź na uwagę</w:t>
            </w:r>
          </w:p>
        </w:tc>
      </w:tr>
      <w:tr w:rsidR="002D117B" w:rsidRPr="002D117B" w:rsidTr="002D117B">
        <w:trPr>
          <w:trHeight w:val="1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w:t>
            </w:r>
          </w:p>
        </w:tc>
        <w:tc>
          <w:tcPr>
            <w:tcW w:w="114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Część diagnostyczna</w:t>
            </w:r>
          </w:p>
        </w:tc>
        <w:tc>
          <w:tcPr>
            <w:tcW w:w="74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Projekt RPS nie określa obszarów zagrożonych podtopieniami (brak jest opisu czy postaci graficznych w postaci e-map PSH). Nie przedstawia diagnozy zagrożeń.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Szczegółowa analiza zagrożeń powodziowych znajduje się w dokumencie strategicznym dotyczącym powodzi, czyli aktualizacji Planu Zarządzania Ryzykiem Powodziowym. Zapisy RPS odnoszą się do tego dokum</w:t>
            </w:r>
            <w:r w:rsidR="002D117B">
              <w:rPr>
                <w:rFonts w:asciiTheme="minorHAnsi" w:hAnsiTheme="minorHAnsi" w:cstheme="minorHAnsi"/>
                <w:color w:val="283E1A"/>
                <w:sz w:val="24"/>
                <w:szCs w:val="24"/>
              </w:rPr>
              <w:t>e</w:t>
            </w:r>
            <w:r w:rsidRPr="00FF0084">
              <w:rPr>
                <w:rFonts w:asciiTheme="minorHAnsi" w:hAnsiTheme="minorHAnsi" w:cstheme="minorHAnsi"/>
                <w:color w:val="283E1A"/>
                <w:sz w:val="24"/>
                <w:szCs w:val="24"/>
              </w:rPr>
              <w:t>ntu, jednak nie ma konieczności ich uszczegóławiania.</w:t>
            </w:r>
          </w:p>
        </w:tc>
      </w:tr>
      <w:tr w:rsidR="002D117B" w:rsidRPr="00FF0084" w:rsidTr="002D117B">
        <w:trPr>
          <w:trHeight w:val="1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2.</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 dokumencie podnoszony jest problem, bardzo ogólnie sformułowany, o „presji zabudowy na obszary szczególnego zagrożenia powodziowego” czy „dużej presji inwestycyjnej na obszary o szczególnym znaczeniu dla zachowania zasobów przyrodniczych i ciągłości korytarzy ekologicznych”. Brak jest przy tym jakiejkolwiek diagnozy co do skali problemu, wskazania kluczowych terenów narażonych na tego rodzaju oddziaływanie.</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 xml:space="preserve">Presja inwestycyjna jest problemem ogólnokrajowym - nie ma potrzeby wskazywania konkretnych miejsc - zagrożenie istnieje nawet w miejscach, w których miejscowy plan nie pozwala na zabudowę (przykładowo problem domków letniskowych nie związanych trwale z gruntem). </w:t>
            </w:r>
          </w:p>
        </w:tc>
      </w:tr>
      <w:tr w:rsidR="002D117B" w:rsidRPr="00FF0084" w:rsidTr="002D117B">
        <w:trPr>
          <w:trHeight w:val="186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3.</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W dokumencie operuje się bardzo ogólnymi sformułowaniami, np. „niewystarczająco rozwinięta infrastruktura pozwalająca na ochronę przed suszą” czy „niewystarczający zakres prac konserwacyjnych na rzekach i urządzeniach melioracyjnych” bez konkretyzacji braków, koniecznych działań, stopnia zagrożeń wynikających z braku ich realizacji.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Szczegółowa analiza zagrożeń występowania zjawiska suszy znajduje się w dokumencie strategicznym dotyczącym suszy, czyli Planie Przeciwdziałania Skutkom Suszy. Zapisy RPS odnoszą się do tego dokum</w:t>
            </w:r>
            <w:r w:rsidR="002D117B">
              <w:rPr>
                <w:rFonts w:asciiTheme="minorHAnsi" w:hAnsiTheme="minorHAnsi" w:cstheme="minorHAnsi"/>
                <w:color w:val="283E1A"/>
                <w:sz w:val="24"/>
                <w:szCs w:val="24"/>
              </w:rPr>
              <w:t>e</w:t>
            </w:r>
            <w:r w:rsidRPr="00FF0084">
              <w:rPr>
                <w:rFonts w:asciiTheme="minorHAnsi" w:hAnsiTheme="minorHAnsi" w:cstheme="minorHAnsi"/>
                <w:color w:val="283E1A"/>
                <w:sz w:val="24"/>
                <w:szCs w:val="24"/>
              </w:rPr>
              <w:t>ntu, jednak nie ma konieczności ich uszczegóławiania.</w:t>
            </w:r>
          </w:p>
        </w:tc>
      </w:tr>
      <w:tr w:rsidR="002D117B" w:rsidRPr="00FF0084" w:rsidTr="002D117B">
        <w:trPr>
          <w:trHeight w:val="1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4.</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  Woda pitna i ścieki - Brak jest wskazania skali problemu dotyczącego aglomeracji niespełniających wymagań tzw. dyrektywy ściekowej. W dokumencie nie wymieniono problematycznych aglomeracji ani nie określono liczby/ procentu aglomeracji, których ten problem dotyczy. Za źródło mógłby posłużyć, w tym przypadku, np. „PORADNIK DLA SAMORZĄDÓW WYZNACZAJĄCYCH AGLOMERACJE opracowany na podstawie pytań zadanych na spotkaniach w dniach 23.07.2020 oraz 10.08.2020” opracowany przez </w:t>
            </w:r>
            <w:proofErr w:type="spellStart"/>
            <w:r w:rsidRPr="00FF0084">
              <w:rPr>
                <w:rFonts w:asciiTheme="minorHAnsi" w:hAnsiTheme="minorHAnsi" w:cstheme="minorHAnsi"/>
                <w:color w:val="000000"/>
                <w:sz w:val="24"/>
                <w:szCs w:val="24"/>
              </w:rPr>
              <w:t>MGMiŻŚ</w:t>
            </w:r>
            <w:proofErr w:type="spellEnd"/>
            <w:r w:rsidRPr="00FF0084">
              <w:rPr>
                <w:rFonts w:asciiTheme="minorHAnsi" w:hAnsiTheme="minorHAnsi" w:cstheme="minorHAnsi"/>
                <w:color w:val="000000"/>
                <w:sz w:val="24"/>
                <w:szCs w:val="24"/>
              </w:rPr>
              <w:t xml:space="preserve"> i PGW Wody Polskie, Załącznik nr 1 – Wykaz aglomeracji ujętych w uzasadnionej opinii Komisji Europejskiej.</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Istnieją dokumenty strategiczne na poziomie krajowym (Krajowy Program Oczyszczania Ścieków Komunalnych), wskazujące aglomeracje niespełniające wymagań tzw. Dyrektywy ściekowej, które są cyklicznie aktualizowane. Obecnie trwają prace nad Aktualizacją KPOŚK - prezentującą aktualne potrzeby inwestycyjne aglomeracji.</w:t>
            </w:r>
          </w:p>
        </w:tc>
      </w:tr>
      <w:tr w:rsidR="002D117B" w:rsidRPr="00FF0084" w:rsidTr="002D117B">
        <w:trPr>
          <w:trHeight w:val="21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5.</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 Poprawa jakości powietrza - W dokumencie przywołana została ocena jakości powietrza w województwie pomorskim jedynie za rok 2019. Opublikowana została już ocena za rok 2020. </w:t>
            </w:r>
            <w:r w:rsidRPr="00FF0084">
              <w:rPr>
                <w:rFonts w:asciiTheme="minorHAnsi" w:hAnsiTheme="minorHAnsi" w:cstheme="minorHAnsi"/>
                <w:color w:val="000000"/>
                <w:sz w:val="24"/>
                <w:szCs w:val="24"/>
              </w:rPr>
              <w:br/>
              <w:t xml:space="preserve">Podana dla strefy pomorskiej wartość bazowa dla 2020 roku (klasa C) nie jest prawidłowa (patrz: wskaźniki rezultatu, s. 52). Ocena jakości powietrza za 2020 rok wskazuje                                       na utrzymanie z roku 2019 dobrej jakości powietrza, również w zakresie pyłów zawieszonych w obu strefach województwa pomorskiego (klasa A). W przypadku </w:t>
            </w:r>
            <w:proofErr w:type="spellStart"/>
            <w:r w:rsidRPr="00FF0084">
              <w:rPr>
                <w:rFonts w:asciiTheme="minorHAnsi" w:hAnsiTheme="minorHAnsi" w:cstheme="minorHAnsi"/>
                <w:color w:val="000000"/>
                <w:sz w:val="24"/>
                <w:szCs w:val="24"/>
              </w:rPr>
              <w:t>benzo</w:t>
            </w:r>
            <w:proofErr w:type="spellEnd"/>
            <w:r w:rsidRPr="00FF0084">
              <w:rPr>
                <w:rFonts w:asciiTheme="minorHAnsi" w:hAnsiTheme="minorHAnsi" w:cstheme="minorHAnsi"/>
                <w:color w:val="000000"/>
                <w:sz w:val="24"/>
                <w:szCs w:val="24"/>
              </w:rPr>
              <w:t>(a)</w:t>
            </w:r>
            <w:proofErr w:type="spellStart"/>
            <w:r w:rsidRPr="00FF0084">
              <w:rPr>
                <w:rFonts w:asciiTheme="minorHAnsi" w:hAnsiTheme="minorHAnsi" w:cstheme="minorHAnsi"/>
                <w:color w:val="000000"/>
                <w:sz w:val="24"/>
                <w:szCs w:val="24"/>
              </w:rPr>
              <w:t>pirenu</w:t>
            </w:r>
            <w:proofErr w:type="spellEnd"/>
            <w:r w:rsidRPr="00FF0084">
              <w:rPr>
                <w:rFonts w:asciiTheme="minorHAnsi" w:hAnsiTheme="minorHAnsi" w:cstheme="minorHAnsi"/>
                <w:color w:val="000000"/>
                <w:sz w:val="24"/>
                <w:szCs w:val="24"/>
              </w:rPr>
              <w:t xml:space="preserve"> nastąpiła również poprawa, nie pozwalająca jednak na dotrzymanie standardów jakości powietrza.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uwzględniona.</w:t>
            </w:r>
            <w:r w:rsidRPr="00FF0084">
              <w:rPr>
                <w:rFonts w:asciiTheme="minorHAnsi" w:hAnsiTheme="minorHAnsi" w:cstheme="minorHAnsi"/>
                <w:color w:val="283E1A"/>
                <w:sz w:val="24"/>
                <w:szCs w:val="24"/>
              </w:rPr>
              <w:br/>
              <w:t>Zmieniono i przedstawiono wyniki rocznej oceny jakości powietrza za rok 2020.</w:t>
            </w:r>
          </w:p>
        </w:tc>
      </w:tr>
      <w:tr w:rsidR="002D117B" w:rsidRPr="00FF0084" w:rsidTr="002D117B">
        <w:trPr>
          <w:trHeight w:val="679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6.</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vAlign w:val="center"/>
            <w:hideMark/>
          </w:tcPr>
          <w:p w:rsidR="00FF0084" w:rsidRPr="00FF0084" w:rsidRDefault="00FF0084" w:rsidP="002D117B">
            <w:pPr>
              <w:spacing w:line="276" w:lineRule="auto"/>
              <w:jc w:val="both"/>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  Gospodarka o obiegu zamkniętym - W kontekście zapisów ujętych w Analizie SWOT (tabela), cyt.: „Wysoki udział niesegregowanej zmieszanej frakcji odpadów w strumieniu odpadów komunalnych” czy „Niski stopień odzysku i recyklingu odpadów komunalnych”, w części diagnostycznej należałoby odnieść się                                do wymaganych poziomów odzysku odpadów i oszacować skalę problemu. </w:t>
            </w:r>
            <w:r w:rsidRPr="00FF0084">
              <w:rPr>
                <w:rFonts w:asciiTheme="minorHAnsi" w:hAnsiTheme="minorHAnsi" w:cstheme="minorHAnsi"/>
                <w:color w:val="000000"/>
                <w:sz w:val="24"/>
                <w:szCs w:val="24"/>
              </w:rPr>
              <w:br/>
              <w:t xml:space="preserve">Wg opracowania GIOŚ: „STAN ŚRODOWISKA W WOJEWÓDZTWIE POMORSKIM. RAPORT 2020” (dalej: Raport), cyt.: „Podczas weryfikacji sprawozdań za lata 2016-2018 stwierdzono, że nie wszystkie gminy w analizowanych latach osiągnęły wymagane poziomy, a mianowicie: • wymagany poziom recyklingu i przygotowania do ponownego użycia papieru, metali, tworzyw sztucznych i szkła, tj.: - w 2016 r. - 0 gmin, - w 2017 r. - 1 gmina, - w 2018 r. -   24 gminy; </w:t>
            </w:r>
            <w:r w:rsidRPr="00FF0084">
              <w:rPr>
                <w:rFonts w:asciiTheme="minorHAnsi" w:hAnsiTheme="minorHAnsi" w:cstheme="minorHAnsi"/>
                <w:color w:val="000000"/>
                <w:sz w:val="24"/>
                <w:szCs w:val="24"/>
              </w:rPr>
              <w:br/>
              <w:t xml:space="preserve">• wymagany poziom przygotowania do ponownego użycia i odzysku innymi metodami, innych niż niebezpieczne odpadów budowlanych i rozbiórkowych, tj.: - w 2016 r. - 3 gminy,  - w 2017 r. - 6 gmin, - w 2018 r. - 17 gmin; </w:t>
            </w:r>
            <w:r w:rsidRPr="00FF0084">
              <w:rPr>
                <w:rFonts w:asciiTheme="minorHAnsi" w:hAnsiTheme="minorHAnsi" w:cstheme="minorHAnsi"/>
                <w:color w:val="000000"/>
                <w:sz w:val="24"/>
                <w:szCs w:val="24"/>
              </w:rPr>
              <w:br/>
              <w:t>• poziom ograniczenia masy odpadów komunalnych ulegających biodegradacji, kierowanych do składowania, tj.: - w 2016 r. - 0 gmin, - w 2017 r. - 0 gmin, - w 2018 r. - 4 gminy.”</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uwzględniona.</w:t>
            </w:r>
            <w:r w:rsidRPr="00FF0084">
              <w:rPr>
                <w:rFonts w:asciiTheme="minorHAnsi" w:hAnsiTheme="minorHAnsi" w:cstheme="minorHAnsi"/>
                <w:color w:val="283E1A"/>
                <w:sz w:val="24"/>
                <w:szCs w:val="24"/>
              </w:rPr>
              <w:br/>
              <w:t>Część diagnostyczna dotycząca GOZ zawierała informacje na temat wymaganych poziomów recyklingu i przygotowania do ponownego użycia odpadów komunalnych i ograniczenia masy odpadów komunalnych ulegających biodegradacji przekazywanych do składowania oraz informacje o zagrożeniu nieosiągnięciem wymaganych prawem UE poziomów. Niemniej, po zakońc</w:t>
            </w:r>
            <w:r w:rsidR="002D117B">
              <w:rPr>
                <w:rFonts w:asciiTheme="minorHAnsi" w:hAnsiTheme="minorHAnsi" w:cstheme="minorHAnsi"/>
                <w:color w:val="283E1A"/>
                <w:sz w:val="24"/>
                <w:szCs w:val="24"/>
              </w:rPr>
              <w:t>zeniu przez marszałka województwa</w:t>
            </w:r>
            <w:r w:rsidRPr="00FF0084">
              <w:rPr>
                <w:rFonts w:asciiTheme="minorHAnsi" w:hAnsiTheme="minorHAnsi" w:cstheme="minorHAnsi"/>
                <w:color w:val="283E1A"/>
                <w:sz w:val="24"/>
                <w:szCs w:val="24"/>
              </w:rPr>
              <w:t xml:space="preserve"> weryfikacji gminnych sprawozdań komunalnych za 2019 r., część diagnostyczna została dodatkowo uzupełniona o dane dot. liczby gmin, które nie osiągnęły wymaganego poziomu za 2019 r.</w:t>
            </w:r>
            <w:r w:rsidRPr="00FF0084">
              <w:rPr>
                <w:rFonts w:asciiTheme="minorHAnsi" w:hAnsiTheme="minorHAnsi" w:cstheme="minorHAnsi"/>
                <w:color w:val="283E1A"/>
                <w:sz w:val="24"/>
                <w:szCs w:val="24"/>
              </w:rPr>
              <w:br/>
              <w:t>Jednocześnie, należy wskazać, że w diagnozie dot. GOZ został zasygnalizowany  problem w zakresie zagrożenia nieosiągnięciem wymaganych poziomów. Nie jest możliwe oszacowanie skali problemu w zakresie nieosiągania wymaganych poziomów recyklingu w najbliższych latach z uwagi na zmianę sposobu obliczenia wymaganego poziomu recyklingu i przygotowania do ponownego użycia w odniesieniu do całej frakcji odpadów komunalnych, a nie tylko 4 frakcji odpadów opakowaniowych, który ma już obowiązywać do 2021 r., ponieważ trudno wnioskować jak</w:t>
            </w:r>
            <w:r w:rsidR="002D117B">
              <w:rPr>
                <w:rFonts w:asciiTheme="minorHAnsi" w:hAnsiTheme="minorHAnsi" w:cstheme="minorHAnsi"/>
                <w:color w:val="283E1A"/>
                <w:sz w:val="24"/>
                <w:szCs w:val="24"/>
              </w:rPr>
              <w:t>ie wartości poziomów osiągały bę</w:t>
            </w:r>
            <w:r w:rsidRPr="00FF0084">
              <w:rPr>
                <w:rFonts w:asciiTheme="minorHAnsi" w:hAnsiTheme="minorHAnsi" w:cstheme="minorHAnsi"/>
                <w:color w:val="283E1A"/>
                <w:sz w:val="24"/>
                <w:szCs w:val="24"/>
              </w:rPr>
              <w:t>dą gminy z zastosowaniem nowego sposobu obliczania poziomów.</w:t>
            </w:r>
          </w:p>
        </w:tc>
      </w:tr>
      <w:tr w:rsidR="002D117B" w:rsidRPr="002D117B" w:rsidTr="002D117B">
        <w:trPr>
          <w:trHeight w:val="274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7.</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vAlign w:val="center"/>
            <w:hideMark/>
          </w:tcPr>
          <w:p w:rsidR="00FF0084" w:rsidRPr="00FF0084" w:rsidRDefault="00FF0084" w:rsidP="002D117B">
            <w:pPr>
              <w:spacing w:line="276" w:lineRule="auto"/>
              <w:jc w:val="both"/>
              <w:rPr>
                <w:rFonts w:asciiTheme="minorHAnsi" w:hAnsiTheme="minorHAnsi" w:cstheme="minorHAnsi"/>
                <w:color w:val="000000"/>
                <w:sz w:val="24"/>
                <w:szCs w:val="24"/>
              </w:rPr>
            </w:pPr>
            <w:r w:rsidRPr="00FF0084">
              <w:rPr>
                <w:rFonts w:asciiTheme="minorHAnsi" w:hAnsiTheme="minorHAnsi" w:cstheme="minorHAnsi"/>
                <w:color w:val="000000"/>
                <w:sz w:val="24"/>
                <w:szCs w:val="24"/>
              </w:rPr>
              <w:t>·         Różnorodność biologiczna i krajobraz/ Analiza SWOT (tabela) - Brak jest oceny skali problemu dla twierdzenia, cyt.: „Postępująca eutrofizacja wód powierzchniowych, w tym jezior”.</w:t>
            </w:r>
            <w:r w:rsidRPr="00FF0084">
              <w:rPr>
                <w:rFonts w:asciiTheme="minorHAnsi" w:hAnsiTheme="minorHAnsi" w:cstheme="minorHAnsi"/>
                <w:color w:val="000000"/>
                <w:sz w:val="24"/>
                <w:szCs w:val="24"/>
              </w:rPr>
              <w:br/>
              <w:t xml:space="preserve">Wg Raportu, cyt.: „Spośród wód powierzchniowych badanych przez WIOŚ na terenie województwa pomorskiego w roku 2018 aż wśród 23% (rzeczne - 11 </w:t>
            </w:r>
            <w:proofErr w:type="spellStart"/>
            <w:r w:rsidRPr="00FF0084">
              <w:rPr>
                <w:rFonts w:asciiTheme="minorHAnsi" w:hAnsiTheme="minorHAnsi" w:cstheme="minorHAnsi"/>
                <w:color w:val="000000"/>
                <w:sz w:val="24"/>
                <w:szCs w:val="24"/>
              </w:rPr>
              <w:t>jcwp</w:t>
            </w:r>
            <w:proofErr w:type="spellEnd"/>
            <w:r w:rsidRPr="00FF0084">
              <w:rPr>
                <w:rFonts w:asciiTheme="minorHAnsi" w:hAnsiTheme="minorHAnsi" w:cstheme="minorHAnsi"/>
                <w:color w:val="000000"/>
                <w:sz w:val="24"/>
                <w:szCs w:val="24"/>
              </w:rPr>
              <w:t xml:space="preserve">, jeziorne - 12 </w:t>
            </w:r>
            <w:proofErr w:type="spellStart"/>
            <w:r w:rsidRPr="00FF0084">
              <w:rPr>
                <w:rFonts w:asciiTheme="minorHAnsi" w:hAnsiTheme="minorHAnsi" w:cstheme="minorHAnsi"/>
                <w:color w:val="000000"/>
                <w:sz w:val="24"/>
                <w:szCs w:val="24"/>
              </w:rPr>
              <w:t>jcwp</w:t>
            </w:r>
            <w:proofErr w:type="spellEnd"/>
            <w:r w:rsidRPr="00FF0084">
              <w:rPr>
                <w:rFonts w:asciiTheme="minorHAnsi" w:hAnsiTheme="minorHAnsi" w:cstheme="minorHAnsi"/>
                <w:color w:val="000000"/>
                <w:sz w:val="24"/>
                <w:szCs w:val="24"/>
              </w:rPr>
              <w:t xml:space="preserve"> oraz wszystkie wody przejściowe oraz przybrzeżne) nastąpiło przekroczenie wartości dopuszczalnej, właśnie we wskaźnikach biogennych.”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000000" w:fill="FFFFFF"/>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Uwaga nieuwzględniona.</w:t>
            </w:r>
            <w:r w:rsidRPr="00FF0084">
              <w:rPr>
                <w:rFonts w:asciiTheme="minorHAnsi" w:hAnsiTheme="minorHAnsi" w:cstheme="minorHAnsi"/>
                <w:color w:val="000000"/>
                <w:sz w:val="24"/>
                <w:szCs w:val="24"/>
              </w:rPr>
              <w:br/>
              <w:t xml:space="preserve">W obowiązującym Planie gospodarowania wodami na obszarze dorzecza Wisły, który jest dokumentem strategicznym na szczeblu krajowym, znajdują się informacje na temat oceny stanu jednolitych części wód powierzchniowych i wód podziemnych. Projekt aktualizacji Planu gospodarowania wodami jest obecnie konsultowany i w nim również znajdzie się informacje na </w:t>
            </w:r>
            <w:proofErr w:type="spellStart"/>
            <w:r w:rsidRPr="00FF0084">
              <w:rPr>
                <w:rFonts w:asciiTheme="minorHAnsi" w:hAnsiTheme="minorHAnsi" w:cstheme="minorHAnsi"/>
                <w:color w:val="000000"/>
                <w:sz w:val="24"/>
                <w:szCs w:val="24"/>
              </w:rPr>
              <w:t>tema</w:t>
            </w:r>
            <w:proofErr w:type="spellEnd"/>
            <w:r w:rsidRPr="00FF0084">
              <w:rPr>
                <w:rFonts w:asciiTheme="minorHAnsi" w:hAnsiTheme="minorHAnsi" w:cstheme="minorHAnsi"/>
                <w:color w:val="000000"/>
                <w:sz w:val="24"/>
                <w:szCs w:val="24"/>
              </w:rPr>
              <w:t xml:space="preserve"> oceny stanu wód. Nie ma więc konieczności uszczegóławiania zapisów RPS.</w:t>
            </w:r>
          </w:p>
        </w:tc>
      </w:tr>
      <w:tr w:rsidR="002D117B" w:rsidRPr="002D117B" w:rsidTr="002D117B">
        <w:trPr>
          <w:trHeight w:val="24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8.</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Gmina Nowy Dwór Gdański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Część diagnostyczna - Wnioski z diagnozy </w:t>
            </w:r>
            <w:proofErr w:type="spellStart"/>
            <w:r w:rsidRPr="00FF0084">
              <w:rPr>
                <w:rFonts w:asciiTheme="minorHAnsi" w:hAnsiTheme="minorHAnsi" w:cstheme="minorHAnsi"/>
                <w:color w:val="000000"/>
                <w:sz w:val="24"/>
                <w:szCs w:val="24"/>
              </w:rPr>
              <w:t>społeczno</w:t>
            </w:r>
            <w:proofErr w:type="spellEnd"/>
            <w:r w:rsidRPr="00FF0084">
              <w:rPr>
                <w:rFonts w:asciiTheme="minorHAnsi" w:hAnsiTheme="minorHAnsi" w:cstheme="minorHAnsi"/>
                <w:color w:val="000000"/>
                <w:sz w:val="24"/>
                <w:szCs w:val="24"/>
              </w:rPr>
              <w:t xml:space="preserve"> – gospodarczej w odniesieniu do bezpieczeństwa środowiskowego i energetycznego </w:t>
            </w:r>
            <w:r w:rsidRPr="00FF0084">
              <w:rPr>
                <w:rFonts w:asciiTheme="minorHAnsi" w:hAnsiTheme="minorHAnsi" w:cstheme="minorHAnsi"/>
                <w:b/>
                <w:bCs/>
                <w:color w:val="000000"/>
                <w:sz w:val="24"/>
                <w:szCs w:val="24"/>
              </w:rPr>
              <w:t>-&gt;</w:t>
            </w:r>
            <w:r w:rsidRPr="00FF0084">
              <w:rPr>
                <w:rFonts w:asciiTheme="minorHAnsi" w:hAnsiTheme="minorHAnsi" w:cstheme="minorHAnsi"/>
                <w:color w:val="000000"/>
                <w:sz w:val="24"/>
                <w:szCs w:val="24"/>
              </w:rPr>
              <w:t xml:space="preserve"> </w:t>
            </w:r>
            <w:r w:rsidRPr="00FF0084">
              <w:rPr>
                <w:rFonts w:asciiTheme="minorHAnsi" w:hAnsiTheme="minorHAnsi" w:cstheme="minorHAnsi"/>
                <w:color w:val="000000"/>
                <w:sz w:val="24"/>
                <w:szCs w:val="24"/>
                <w:u w:val="single"/>
              </w:rPr>
              <w:t>niewystarczający rozwój systemów zbierania i oczyszczania ścieków na obszarach poza aglomeracjami, w tym systemów indywidualnych (przydomowych oczyszczalni ścieków)</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13</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niewystarczający rozwój systemów zbierania i oczyszczania ścieków na obszarach poza aglomeracjami, w tym systemów indywidualnych (przydomowych oczyszczalni ścieków) oraz systemów lokalnych na terenach, gdzie zbyt wysoki poziom wód gruntowych uniemożliwia lub istotnie utrudnia powstawanie systemów indywidualnych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Zbieranie i oczyszczanie ścieków na terenach poza aglomeracjami realizować można z wykorzystaniem systemów indywidualnych oraz lokalnych. Ze względu jednak na wysoki poziom wód gruntowych, niemożliwe jest (lub znacznie utrudnione) zastosowanie systemów indywidualnych. Te obszary powinny być szczególnie uprawnione do możliwości rozwoju systemów lokalnych.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uwzględniona</w:t>
            </w:r>
          </w:p>
        </w:tc>
      </w:tr>
      <w:tr w:rsidR="002D117B" w:rsidRPr="002D117B" w:rsidTr="002D117B">
        <w:trPr>
          <w:trHeight w:val="339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9.</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Analiza SWOT (tabela)</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Wskazuje się na zbyt duży stopień ogólności zapisów w analizie SWOT.</w:t>
            </w:r>
            <w:r w:rsidRPr="00FF0084">
              <w:rPr>
                <w:rFonts w:asciiTheme="minorHAnsi" w:hAnsiTheme="minorHAnsi" w:cstheme="minorHAnsi"/>
                <w:color w:val="000000"/>
                <w:sz w:val="24"/>
                <w:szCs w:val="24"/>
              </w:rPr>
              <w:br/>
              <w:t>Zasadnym jest doprecyzowanie niżej przytoczonych zapisów, przynajmniej co do najistotniejszych aspektów czy obszarów, których dany aspekt w szczególności dotyczy:</w:t>
            </w:r>
            <w:r w:rsidRPr="00FF0084">
              <w:rPr>
                <w:rFonts w:asciiTheme="minorHAnsi" w:hAnsiTheme="minorHAnsi" w:cstheme="minorHAnsi"/>
                <w:color w:val="000000"/>
                <w:sz w:val="24"/>
                <w:szCs w:val="24"/>
              </w:rPr>
              <w:br/>
              <w:t xml:space="preserve">a. „Dobrze rozbudowana infrastruktura ochrony środowiska(?), w szczególności na terenach zurbanizowanych”. </w:t>
            </w:r>
            <w:r w:rsidRPr="00FF0084">
              <w:rPr>
                <w:rFonts w:asciiTheme="minorHAnsi" w:hAnsiTheme="minorHAnsi" w:cstheme="minorHAnsi"/>
                <w:color w:val="000000"/>
                <w:sz w:val="24"/>
                <w:szCs w:val="24"/>
              </w:rPr>
              <w:br/>
              <w:t xml:space="preserve">b.  „Nierozwiązany problem(?) gospodarki wodno-ściekowej na terenach wiejskich”.                   </w:t>
            </w:r>
            <w:r w:rsidRPr="00FF0084">
              <w:rPr>
                <w:rFonts w:asciiTheme="minorHAnsi" w:hAnsiTheme="minorHAnsi" w:cstheme="minorHAnsi"/>
                <w:color w:val="000000"/>
                <w:sz w:val="24"/>
                <w:szCs w:val="24"/>
              </w:rPr>
              <w:br/>
              <w:t xml:space="preserve">c. „Nierozwiązanie problemów(?) gospodarki osadowej oraz niewykorzystanie potencjału komunalnego osadu ściekowego jako surowca”. </w:t>
            </w:r>
            <w:r w:rsidRPr="00FF0084">
              <w:rPr>
                <w:rFonts w:asciiTheme="minorHAnsi" w:hAnsiTheme="minorHAnsi" w:cstheme="minorHAnsi"/>
                <w:color w:val="000000"/>
                <w:sz w:val="24"/>
                <w:szCs w:val="24"/>
              </w:rPr>
              <w:br/>
              <w:t>d. „Niezadowalająca jakość powietrza”. Ze względu na jakie parametry?</w:t>
            </w:r>
            <w:r w:rsidRPr="00FF0084">
              <w:rPr>
                <w:rFonts w:asciiTheme="minorHAnsi" w:hAnsiTheme="minorHAnsi" w:cstheme="minorHAnsi"/>
                <w:color w:val="000000"/>
                <w:sz w:val="24"/>
                <w:szCs w:val="24"/>
              </w:rPr>
              <w:br/>
              <w:t>e. „Brak skutecznego zarządzania obszarami przybrzeżnymi.”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Analiza SW</w:t>
            </w:r>
            <w:r w:rsidR="002D117B">
              <w:rPr>
                <w:rFonts w:asciiTheme="minorHAnsi" w:hAnsiTheme="minorHAnsi" w:cstheme="minorHAnsi"/>
                <w:color w:val="283E1A"/>
                <w:sz w:val="24"/>
                <w:szCs w:val="24"/>
              </w:rPr>
              <w:t>OT z natury rzeczy nie zawiera sz</w:t>
            </w:r>
            <w:r w:rsidRPr="00FF0084">
              <w:rPr>
                <w:rFonts w:asciiTheme="minorHAnsi" w:hAnsiTheme="minorHAnsi" w:cstheme="minorHAnsi"/>
                <w:color w:val="283E1A"/>
                <w:sz w:val="24"/>
                <w:szCs w:val="24"/>
              </w:rPr>
              <w:t>czegółowych informacji. Jest konsekwencją treści zawartej w Diagnozie.</w:t>
            </w:r>
          </w:p>
        </w:tc>
      </w:tr>
      <w:tr w:rsidR="002D117B" w:rsidRPr="002D117B" w:rsidTr="002D117B">
        <w:trPr>
          <w:trHeight w:val="39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10.</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UM Rumia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1.1</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Przedsięwzięcia strategiczne (Działanie 1.1.1)</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28</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Dodanie nowego przedsięwzięcia strategicznego: „Program Kompleksowe zabezpieczenie przeciwpowodziowe zlewni rzeki Zagórskiej Strugi do roku 2030”</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Zagrożenie powodziowe na przedmiotowym terenie wymaga kompleksowych działań, a jednocześnie dotyczy terenów o znaczeniu strategicznym dla regionu i kraju, tj. przeznaczonych pod rozwój portu morskiego w Gdyni. Nieujęcie tego zagadnienia w ramy przedsięwzięcia o charakterze i znaczeniu strategicznym, może skutkować brakiem finansowania, a co za tym idzie zwiększeniem ryzyka powodziowego dla </w:t>
            </w:r>
            <w:r w:rsidRPr="00FF0084">
              <w:rPr>
                <w:rFonts w:asciiTheme="minorHAnsi" w:hAnsiTheme="minorHAnsi" w:cstheme="minorHAnsi"/>
                <w:sz w:val="24"/>
                <w:szCs w:val="24"/>
              </w:rPr>
              <w:lastRenderedPageBreak/>
              <w:t xml:space="preserve">przedmiotowego obszaru, w tym tempa rozwoju portu morskiego w Gdyni i całego łańcucha dostaw/specjalizacji z nim powiązanych, w tym sektora </w:t>
            </w:r>
            <w:proofErr w:type="spellStart"/>
            <w:r w:rsidRPr="00FF0084">
              <w:rPr>
                <w:rFonts w:asciiTheme="minorHAnsi" w:hAnsiTheme="minorHAnsi" w:cstheme="minorHAnsi"/>
                <w:sz w:val="24"/>
                <w:szCs w:val="24"/>
              </w:rPr>
              <w:t>offshore</w:t>
            </w:r>
            <w:proofErr w:type="spellEnd"/>
            <w:r w:rsidRPr="00FF0084">
              <w:rPr>
                <w:rFonts w:asciiTheme="minorHAnsi" w:hAnsiTheme="minorHAnsi" w:cstheme="minorHAnsi"/>
                <w:sz w:val="24"/>
                <w:szCs w:val="24"/>
              </w:rPr>
              <w:t xml:space="preserve"> na Morzu Bałtyckim.</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nieuwzględniona.</w:t>
            </w:r>
            <w:r w:rsidRPr="00FF0084">
              <w:rPr>
                <w:rFonts w:asciiTheme="minorHAnsi" w:hAnsiTheme="minorHAnsi" w:cstheme="minorHAnsi"/>
                <w:sz w:val="24"/>
                <w:szCs w:val="24"/>
              </w:rPr>
              <w:br/>
              <w:t>Działania mające na celu zabezpieczenie przeciwpowodziowe zlewni rzeki Zagórskiej Strugi nie znalazły się w dokumencie Planu Zarządzania Ryzykiem Powodziowym, nie wykonano dla Zagórskiej Strugi map zagrożenia i ryzyka powodziowego. W związku z tym nie wiadomo z czego wynika taka potrzeba. Nie ma podstaw do uwzględnienia jako przedsięwzięcie strategiczne.</w:t>
            </w:r>
          </w:p>
        </w:tc>
      </w:tr>
      <w:tr w:rsidR="002D117B" w:rsidRPr="002D117B" w:rsidTr="002D117B">
        <w:trPr>
          <w:trHeight w:val="222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11.</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Działanie 1.2.3. </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W Działaniu 1.2.3. Ochrona walorów przyrodniczo-krajobrazowych w szczególności na obszarach objętych formami ochrony przyrody oraz przeciwdziałanie fragmentacji przestrzeni przyrodniczej, kol. Zakres interwencji, sugeruje się wprowadzenie zapisu: „uwzględnianie w MPZP zakazów, obowiązków oraz warunków realizacji przedsięwzięć mogących negatywnie wpływać na walory przyrodnicze                                               i krajobrazowe obszarów”. Miejscowe plany zagospodarowania przestrzennego są aktami prawa miejscowego, tym samym są skutecznym narzędziem w planowaniu i dopuszczaniu inwestycji                        do realizacji.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  kształt MPZP reguluje ustawa o planowaniu i zagospodarowaniu przestrzennym - nie ma potrzeby zamieszczania zapisów odnośnie tej kwestii w RPS</w:t>
            </w:r>
          </w:p>
        </w:tc>
      </w:tr>
      <w:tr w:rsidR="002D117B" w:rsidRPr="002D117B" w:rsidTr="002D117B">
        <w:trPr>
          <w:trHeight w:val="261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12.</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21.06.2021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Centralny Wodociąg Żuławski Sp. z o.o.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1.4</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1.4.2  Kryteria Strategiczne. Specyficzne</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44</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Stosowane obligatoryjnie:</w:t>
            </w:r>
            <w:r w:rsidRPr="00FF0084">
              <w:rPr>
                <w:rFonts w:asciiTheme="minorHAnsi" w:hAnsiTheme="minorHAnsi" w:cstheme="minorHAnsi"/>
                <w:sz w:val="24"/>
                <w:szCs w:val="24"/>
              </w:rPr>
              <w:br/>
              <w:t>Wsparcie przebudowy sieci wodociągowej możliwe będzie tylko w tych przypadkach, gdzie wykazane zostały straty wody na przesyle w ilości co najmniej 15% oraz przy prowadzeniu właściwej gospodarki ściekowej.</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Centralny Wodociąg Żuławski Sp. z o.o. w Nowym Dworze Gdańskim nie ma wpływu na właściwą gospodarkę ściekową na obszarze gmin, przez które przebiega azbestocementowa sieć </w:t>
            </w:r>
            <w:r w:rsidRPr="00FF0084">
              <w:rPr>
                <w:rFonts w:asciiTheme="minorHAnsi" w:hAnsiTheme="minorHAnsi" w:cstheme="minorHAnsi"/>
                <w:sz w:val="24"/>
                <w:szCs w:val="24"/>
              </w:rPr>
              <w:lastRenderedPageBreak/>
              <w:t>wodociągowa przewidziana do wymiany.</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nieuwzględniona</w:t>
            </w:r>
            <w:r w:rsidRPr="00FF0084">
              <w:rPr>
                <w:rFonts w:asciiTheme="minorHAnsi" w:hAnsiTheme="minorHAnsi" w:cstheme="minorHAnsi"/>
                <w:sz w:val="24"/>
                <w:szCs w:val="24"/>
              </w:rPr>
              <w:br/>
              <w:t xml:space="preserve">Nie zaproponowano żadnych zmian do zapisu. Ponadto, zgodnie z Ustawą o utrzymaniu czystości i porządku w gminach, gmina ma obowiązek prowadzenia ewidencji bezodpływowych zbiorników wodnych i przydomowych oczyszczalni ścieków w celu monitoringu oraz opracowania planu rozwoju sieci kanalizacyjnej, co przyczynia się do zapewnienia właściwej gospodarki ściekowej na obszarze gminy. </w:t>
            </w:r>
          </w:p>
        </w:tc>
      </w:tr>
      <w:tr w:rsidR="002D117B" w:rsidRPr="002D117B" w:rsidTr="002D117B">
        <w:trPr>
          <w:trHeight w:val="33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13.</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Gmina Nowy Dwór Gdański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1.4</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 obszary aglomeracji ściekowych niespełniających wymagań akcesyjnych jako preferencja dla zakresu interwencji dotyczącego budowy i rozbudowy zbiorczych</w:t>
            </w:r>
            <w:r w:rsidR="002D117B">
              <w:rPr>
                <w:rFonts w:asciiTheme="minorHAnsi" w:hAnsiTheme="minorHAnsi" w:cstheme="minorHAnsi"/>
                <w:sz w:val="24"/>
                <w:szCs w:val="24"/>
              </w:rPr>
              <w:t xml:space="preserve"> </w:t>
            </w:r>
            <w:r w:rsidRPr="00FF0084">
              <w:rPr>
                <w:rFonts w:asciiTheme="minorHAnsi" w:hAnsiTheme="minorHAnsi" w:cstheme="minorHAnsi"/>
                <w:sz w:val="24"/>
                <w:szCs w:val="24"/>
              </w:rPr>
              <w:t xml:space="preserve">systemów odprowadzania i oczyszczania ścieków komunalnych, 2) obszary poza aglomeracjami ściekowymi -jako wyłączny dostęp dla zakresu interwencji dotyczącego </w:t>
            </w:r>
            <w:r w:rsidRPr="00FF0084">
              <w:rPr>
                <w:rFonts w:asciiTheme="minorHAnsi" w:hAnsiTheme="minorHAnsi" w:cstheme="minorHAnsi"/>
                <w:sz w:val="24"/>
                <w:szCs w:val="24"/>
              </w:rPr>
              <w:lastRenderedPageBreak/>
              <w:t xml:space="preserve">budowy lokalnych i indywidualnych systemów oczyszczania ścieków  </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lastRenderedPageBreak/>
              <w:t>43</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      obszary aglomeracji ściekowych niespełniających wymagań akcesyjnych jako preferencja dla zakresu interwencji dotyczącego budowy i rozbudowy zbiorczych systemów odprowadzania i oczyszczania ścieków komunalnych, 2) obszary poza aglomeracjami ściekowymi -jako wyłączny dostęp dla zakresu interwencji dotyczącego:</w:t>
            </w:r>
            <w:r w:rsidRPr="00FF0084">
              <w:rPr>
                <w:rFonts w:asciiTheme="minorHAnsi" w:hAnsiTheme="minorHAnsi" w:cstheme="minorHAnsi"/>
                <w:sz w:val="24"/>
                <w:szCs w:val="24"/>
              </w:rPr>
              <w:br/>
              <w:t>-  budowy  indywidualnych systemów oczyszczania ścieków</w:t>
            </w:r>
            <w:r w:rsidRPr="00FF0084">
              <w:rPr>
                <w:rFonts w:asciiTheme="minorHAnsi" w:hAnsiTheme="minorHAnsi" w:cstheme="minorHAnsi"/>
                <w:sz w:val="24"/>
                <w:szCs w:val="24"/>
              </w:rPr>
              <w:br/>
              <w:t>- budowy lokalnych systemów oczyszczania ścieków na obszarach, gdzie wysoki poziom wód gruntowych uniemożliwia lub znacznie utrudnia zastosowanie systemów indywidualnych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Zbieranie i oczyszczanie ścieków na terenach poza aglomeracjami realizować można z wykorzystaniem systemów indywidualnych oraz lokalnych. Ze względu jednak na wysoki poziom wód gruntowych, niemożliwe jest (lub znacznie utrudnione) zastosowanie systemów indywidualnych. Te obszary powinny być szczególnie uprawnione do możliwości rozwoju systemów lokalnych.</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uwzględniona</w:t>
            </w:r>
          </w:p>
        </w:tc>
      </w:tr>
      <w:tr w:rsidR="002D117B" w:rsidRPr="002D117B" w:rsidTr="002D117B">
        <w:trPr>
          <w:trHeight w:val="123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14.</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2.2</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noWrap/>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 Działaniu 2.2. należałoby uwzględnić działania dla sektorów hodowli zwierząt  i uprawy (nawożenie).</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w:t>
            </w:r>
            <w:r w:rsidRPr="00FF0084">
              <w:rPr>
                <w:rFonts w:asciiTheme="minorHAnsi" w:hAnsiTheme="minorHAnsi" w:cstheme="minorHAnsi"/>
                <w:sz w:val="24"/>
                <w:szCs w:val="24"/>
              </w:rPr>
              <w:br/>
              <w:t xml:space="preserve">RPS nie obejmuje wszystkich zagadnień z ochrony środowiska, dokonano wyboru strategicznego najważniejszych problemów. </w:t>
            </w:r>
          </w:p>
        </w:tc>
      </w:tr>
      <w:tr w:rsidR="002D117B" w:rsidRPr="002D117B" w:rsidTr="002D117B">
        <w:trPr>
          <w:trHeight w:val="153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15.</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2.2.1</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 Działaniu 2.2.1. Przebudowa indywidualnych i lokalnych źródeł ciepła w kierunku znaczącej redukcji emisji zanieczyszczeń oraz budowa, rozbudowa i modernizacja systemów ciepłowniczych, kol. Kryteria strategiczne – Specyficzne, sugeruje się wprowadzenie zapisu: „projekty i działania wynikające z planów gospodarki niskoemisyjnej, programów ograniczenia niskiej emisji”.</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w:t>
            </w:r>
            <w:r w:rsidRPr="00FF0084">
              <w:rPr>
                <w:rFonts w:asciiTheme="minorHAnsi" w:hAnsiTheme="minorHAnsi" w:cstheme="minorHAnsi"/>
                <w:sz w:val="24"/>
                <w:szCs w:val="24"/>
              </w:rPr>
              <w:br/>
              <w:t>Brak uzasadnienia do wprowadzania jako preferencji dokumentu, który nie wynika z przepisów prawa.</w:t>
            </w:r>
          </w:p>
        </w:tc>
      </w:tr>
      <w:tr w:rsidR="002D117B" w:rsidRPr="002D117B" w:rsidTr="002D117B">
        <w:trPr>
          <w:trHeight w:val="235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16.</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UM Rumia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(Działanie 2.2.3, Kryteria strategiczne, Specyficzne), 2) budowa referencyjnej stacji monitoringu jakości powietrza</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55</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2)budowa i </w:t>
            </w:r>
            <w:r w:rsidRPr="00FF0084">
              <w:rPr>
                <w:rFonts w:asciiTheme="minorHAnsi" w:hAnsiTheme="minorHAnsi" w:cstheme="minorHAnsi"/>
                <w:b/>
                <w:bCs/>
                <w:color w:val="000000"/>
                <w:sz w:val="24"/>
                <w:szCs w:val="24"/>
                <w:u w:val="single"/>
              </w:rPr>
              <w:t>utrzymanie</w:t>
            </w:r>
            <w:r w:rsidRPr="00FF0084">
              <w:rPr>
                <w:rFonts w:asciiTheme="minorHAnsi" w:hAnsiTheme="minorHAnsi" w:cstheme="minorHAnsi"/>
                <w:color w:val="000000"/>
                <w:sz w:val="24"/>
                <w:szCs w:val="24"/>
              </w:rPr>
              <w:t xml:space="preserve"> referencyjnej stacji monitoringu jakości powietrza</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Brak możliwości finansowania elementu utrzymaniowego może docelowo zmniejszyć zainteresowanie  tworzeniem systemu monitoringu jakości powietrza w gminach i miastach, a przez to wyhamować cały proces poprawy jakości powietrza </w:t>
            </w:r>
            <w:r w:rsidRPr="00FF0084">
              <w:rPr>
                <w:rFonts w:asciiTheme="minorHAnsi" w:hAnsiTheme="minorHAnsi" w:cstheme="minorHAnsi"/>
                <w:color w:val="000000"/>
                <w:sz w:val="24"/>
                <w:szCs w:val="24"/>
              </w:rPr>
              <w:lastRenderedPageBreak/>
              <w:t>w województwie pomorskim</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nieuwzględniona.</w:t>
            </w:r>
            <w:r w:rsidRPr="00FF0084">
              <w:rPr>
                <w:rFonts w:asciiTheme="minorHAnsi" w:hAnsiTheme="minorHAnsi" w:cstheme="minorHAnsi"/>
                <w:sz w:val="24"/>
                <w:szCs w:val="24"/>
              </w:rPr>
              <w:br/>
              <w:t>Utrzymanie stacji monitoringu jakości powietrza nie ma charakteru strategicznego, dlatego nie zostało określone jako kryterium specyficzne (preferencja), co nie wyklucza możliwości wsparcia ze środków krajowych.</w:t>
            </w:r>
          </w:p>
        </w:tc>
      </w:tr>
      <w:tr w:rsidR="002D117B" w:rsidRPr="002D117B" w:rsidTr="002D117B">
        <w:trPr>
          <w:trHeight w:val="235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17.</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16.06.2021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Powiat Chojnicki</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2D117B" w:rsidP="002D117B">
            <w:p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Załą</w:t>
            </w:r>
            <w:r w:rsidR="00FF0084" w:rsidRPr="00FF0084">
              <w:rPr>
                <w:rFonts w:asciiTheme="minorHAnsi" w:hAnsiTheme="minorHAnsi" w:cstheme="minorHAnsi"/>
                <w:color w:val="000000"/>
                <w:sz w:val="24"/>
                <w:szCs w:val="24"/>
              </w:rPr>
              <w:t>cznik 2. Modernizacja istniejącej instalacji do termicznego przekształcania odpadów medycznych i weterynaryjnych przy Szpitalu Specjalistycznym im. J.K. Łukowicza w Chojnicach.</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68 (i inne)</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Budowa nowej instalacji unieszkodliwiania odpadów niebezpiecznych poprzez ich termiczne przekształcanie z wytwarzaniem energii w kogeneracji na terenie Szpitala Specjalistycznego im. J.K. Łukowicza w Chojnicach.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Zmiana wynika z konieczności </w:t>
            </w:r>
            <w:r w:rsidR="002D117B">
              <w:rPr>
                <w:rFonts w:asciiTheme="minorHAnsi" w:hAnsiTheme="minorHAnsi" w:cstheme="minorHAnsi"/>
                <w:color w:val="000000"/>
                <w:sz w:val="24"/>
                <w:szCs w:val="24"/>
              </w:rPr>
              <w:t>ujednolicenia nazwy przedsięwzię</w:t>
            </w:r>
            <w:r w:rsidRPr="00FF0084">
              <w:rPr>
                <w:rFonts w:asciiTheme="minorHAnsi" w:hAnsiTheme="minorHAnsi" w:cstheme="minorHAnsi"/>
                <w:color w:val="000000"/>
                <w:sz w:val="24"/>
                <w:szCs w:val="24"/>
              </w:rPr>
              <w:t>cia z aktualnymi dokumentami</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uwzględniona</w:t>
            </w:r>
          </w:p>
        </w:tc>
      </w:tr>
      <w:tr w:rsidR="002D117B" w:rsidRPr="002D117B" w:rsidTr="002D117B">
        <w:trPr>
          <w:trHeight w:val="4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18.</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16.06.2021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Powiat Chojnicki</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2D117B" w:rsidP="002D117B">
            <w:p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Załą</w:t>
            </w:r>
            <w:r w:rsidR="00FF0084" w:rsidRPr="00FF0084">
              <w:rPr>
                <w:rFonts w:asciiTheme="minorHAnsi" w:hAnsiTheme="minorHAnsi" w:cstheme="minorHAnsi"/>
                <w:color w:val="000000"/>
                <w:sz w:val="24"/>
                <w:szCs w:val="24"/>
              </w:rPr>
              <w:t xml:space="preserve">cznik 2. Celem jest modernizacja istniejącej instalacji do termicznego przekształcania odpadów medycznych i weterynaryjnych przy Szpitalu Specjalistycznym im. J.K. Łukowicza w Chojnicach ul. Leśna 10 poprzez budowę nowej linii technologicznej o wydajności do 10 ton spalanych odpadów na dobę (3333 ton/rok) z kogeneracją (produkcją ciepła i energii elektrycznej) wraz z połączeniem technologicznym z istniejącą kotłownią. Ciepło i energia elektryczna będą wykorzystywane na potrzeby </w:t>
            </w:r>
            <w:r w:rsidR="00FF0084" w:rsidRPr="00FF0084">
              <w:rPr>
                <w:rFonts w:asciiTheme="minorHAnsi" w:hAnsiTheme="minorHAnsi" w:cstheme="minorHAnsi"/>
                <w:color w:val="000000"/>
                <w:sz w:val="24"/>
                <w:szCs w:val="24"/>
              </w:rPr>
              <w:lastRenderedPageBreak/>
              <w:t>własne a nadmiar energii elektrycznej zostanie sprzedana dystrybutorowi energii elektrycznej.</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lastRenderedPageBreak/>
              <w:t>68</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Celem jest budowa no</w:t>
            </w:r>
            <w:r w:rsidR="002D117B">
              <w:rPr>
                <w:rFonts w:asciiTheme="minorHAnsi" w:hAnsiTheme="minorHAnsi" w:cstheme="minorHAnsi"/>
                <w:color w:val="000000"/>
                <w:sz w:val="24"/>
                <w:szCs w:val="24"/>
              </w:rPr>
              <w:t>wej instalacji unieszkodliwiania odpadó</w:t>
            </w:r>
            <w:r w:rsidRPr="00FF0084">
              <w:rPr>
                <w:rFonts w:asciiTheme="minorHAnsi" w:hAnsiTheme="minorHAnsi" w:cstheme="minorHAnsi"/>
                <w:color w:val="000000"/>
                <w:sz w:val="24"/>
                <w:szCs w:val="24"/>
              </w:rPr>
              <w:t xml:space="preserve">w niebezpiecznych </w:t>
            </w:r>
            <w:r w:rsidR="002D117B">
              <w:rPr>
                <w:rFonts w:asciiTheme="minorHAnsi" w:hAnsiTheme="minorHAnsi" w:cstheme="minorHAnsi"/>
                <w:color w:val="000000"/>
                <w:sz w:val="24"/>
                <w:szCs w:val="24"/>
              </w:rPr>
              <w:t>poprzez ich termiczne przekształ</w:t>
            </w:r>
            <w:r w:rsidRPr="00FF0084">
              <w:rPr>
                <w:rFonts w:asciiTheme="minorHAnsi" w:hAnsiTheme="minorHAnsi" w:cstheme="minorHAnsi"/>
                <w:color w:val="000000"/>
                <w:sz w:val="24"/>
                <w:szCs w:val="24"/>
              </w:rPr>
              <w:t>canie z wytwarzaniem energii w kogeneracji na terenie Szpitala Specjalistycznego im. J.K. Łukowicza w Chojnicach ul. Leśna 10 poprzez budowę nowej linii technologicznej o wydajności do 10 Mg spalanych odpadów na dobę (do 3280 Mg/rok) z kogeneracją (produkcją ciepła i energii elektrycznej) wraz z połączeniem technologicznym z istniejącą kotłownią. Ciepło i energia elektryczna będą wykorzystywane na potrzeby własne a nadmiar energii elektrycznej zostanie sprzedana dystrybutorowi energii elektrycznej.</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Zmiana wynika z konieczności u</w:t>
            </w:r>
            <w:r w:rsidR="002D117B">
              <w:rPr>
                <w:rFonts w:asciiTheme="minorHAnsi" w:hAnsiTheme="minorHAnsi" w:cstheme="minorHAnsi"/>
                <w:color w:val="000000"/>
                <w:sz w:val="24"/>
                <w:szCs w:val="24"/>
              </w:rPr>
              <w:t>jednolicenia nazwy przedsięwzięc</w:t>
            </w:r>
            <w:r w:rsidRPr="00FF0084">
              <w:rPr>
                <w:rFonts w:asciiTheme="minorHAnsi" w:hAnsiTheme="minorHAnsi" w:cstheme="minorHAnsi"/>
                <w:color w:val="000000"/>
                <w:sz w:val="24"/>
                <w:szCs w:val="24"/>
              </w:rPr>
              <w:t>ia z aktualnymi dokumentami</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uwzględniona</w:t>
            </w:r>
          </w:p>
        </w:tc>
      </w:tr>
      <w:tr w:rsidR="002D117B" w:rsidRPr="002D117B" w:rsidTr="002D117B">
        <w:trPr>
          <w:trHeight w:val="81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19.</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UM Rumia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Załącznik 2. Charakterystyka przedsięwzięć strategicznych</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66</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Dodanie nowego przedsięwzięcia strategicznego (zgodnie z uwagą nr 1): Tytuł:</w:t>
            </w:r>
            <w:r w:rsidRPr="00FF0084">
              <w:rPr>
                <w:rFonts w:asciiTheme="minorHAnsi" w:hAnsiTheme="minorHAnsi" w:cstheme="minorHAnsi"/>
                <w:b/>
                <w:bCs/>
                <w:color w:val="000000"/>
                <w:sz w:val="24"/>
                <w:szCs w:val="24"/>
              </w:rPr>
              <w:t xml:space="preserve"> Program Kompleksowe zabezpieczenie przeciwpowodziowe Zlewni rzeki Zagórskiej Strugi do roku 2030. </w:t>
            </w:r>
            <w:r w:rsidRPr="00FF0084">
              <w:rPr>
                <w:rFonts w:asciiTheme="minorHAnsi" w:hAnsiTheme="minorHAnsi" w:cstheme="minorHAnsi"/>
                <w:color w:val="000000"/>
                <w:sz w:val="24"/>
                <w:szCs w:val="24"/>
              </w:rPr>
              <w:t>Jednostka odpowiedzialna za realizację lub koordynację: Gmina Miejska Rumia (koordynacja)</w:t>
            </w:r>
            <w:r w:rsidRPr="00FF0084">
              <w:rPr>
                <w:rFonts w:asciiTheme="minorHAnsi" w:hAnsiTheme="minorHAnsi" w:cstheme="minorHAnsi"/>
                <w:color w:val="000000"/>
                <w:sz w:val="24"/>
                <w:szCs w:val="24"/>
              </w:rPr>
              <w:br/>
              <w:t>Realizacja: PGW Wody Polskie, Gminy: Kosakowo, Szemud, Reda, Rumia, powiat pucki, powiat wejherowski, Miasto Gdynia.</w:t>
            </w:r>
            <w:r w:rsidRPr="00FF0084">
              <w:rPr>
                <w:rFonts w:asciiTheme="minorHAnsi" w:hAnsiTheme="minorHAnsi" w:cstheme="minorHAnsi"/>
                <w:color w:val="000000"/>
                <w:sz w:val="24"/>
                <w:szCs w:val="24"/>
              </w:rPr>
              <w:br/>
              <w:t>Termin realizacji: do 2030.</w:t>
            </w:r>
            <w:r w:rsidRPr="00FF0084">
              <w:rPr>
                <w:rFonts w:asciiTheme="minorHAnsi" w:hAnsiTheme="minorHAnsi" w:cstheme="minorHAnsi"/>
                <w:b/>
                <w:bCs/>
                <w:color w:val="000000"/>
                <w:sz w:val="24"/>
                <w:szCs w:val="24"/>
              </w:rPr>
              <w:t xml:space="preserve"> Zakres: </w:t>
            </w:r>
            <w:r w:rsidRPr="00FF0084">
              <w:rPr>
                <w:rFonts w:asciiTheme="minorHAnsi" w:hAnsiTheme="minorHAnsi" w:cstheme="minorHAnsi"/>
                <w:b/>
                <w:bCs/>
                <w:color w:val="000000"/>
                <w:sz w:val="24"/>
                <w:szCs w:val="24"/>
              </w:rPr>
              <w:br/>
              <w:t xml:space="preserve">1. Umocnienie skarp i brzegów rzeki Zagórskiej Strugi, </w:t>
            </w:r>
            <w:proofErr w:type="spellStart"/>
            <w:r w:rsidRPr="00FF0084">
              <w:rPr>
                <w:rFonts w:asciiTheme="minorHAnsi" w:hAnsiTheme="minorHAnsi" w:cstheme="minorHAnsi"/>
                <w:b/>
                <w:bCs/>
                <w:color w:val="000000"/>
                <w:sz w:val="24"/>
                <w:szCs w:val="24"/>
              </w:rPr>
              <w:t>Konitopu</w:t>
            </w:r>
            <w:proofErr w:type="spellEnd"/>
            <w:r w:rsidRPr="00FF0084">
              <w:rPr>
                <w:rFonts w:asciiTheme="minorHAnsi" w:hAnsiTheme="minorHAnsi" w:cstheme="minorHAnsi"/>
                <w:b/>
                <w:bCs/>
                <w:color w:val="000000"/>
                <w:sz w:val="24"/>
                <w:szCs w:val="24"/>
              </w:rPr>
              <w:t xml:space="preserve"> Leniwego, Kanału Łyski i potoku Cisowska Struga</w:t>
            </w:r>
            <w:r w:rsidRPr="00FF0084">
              <w:rPr>
                <w:rFonts w:asciiTheme="minorHAnsi" w:hAnsiTheme="minorHAnsi" w:cstheme="minorHAnsi"/>
                <w:b/>
                <w:bCs/>
                <w:color w:val="000000"/>
                <w:sz w:val="24"/>
                <w:szCs w:val="24"/>
              </w:rPr>
              <w:br/>
              <w:t xml:space="preserve">2. Budowa urządzenia wylotowego do Zagórskiej Strugi wód z sieci rowów odwadniających tereny przemysłowe w </w:t>
            </w:r>
            <w:proofErr w:type="spellStart"/>
            <w:r w:rsidRPr="00FF0084">
              <w:rPr>
                <w:rFonts w:asciiTheme="minorHAnsi" w:hAnsiTheme="minorHAnsi" w:cstheme="minorHAnsi"/>
                <w:b/>
                <w:bCs/>
                <w:color w:val="000000"/>
                <w:sz w:val="24"/>
                <w:szCs w:val="24"/>
              </w:rPr>
              <w:t>Rumi</w:t>
            </w:r>
            <w:proofErr w:type="spellEnd"/>
            <w:r w:rsidRPr="00FF0084">
              <w:rPr>
                <w:rFonts w:asciiTheme="minorHAnsi" w:hAnsiTheme="minorHAnsi" w:cstheme="minorHAnsi"/>
                <w:b/>
                <w:bCs/>
                <w:color w:val="000000"/>
                <w:sz w:val="24"/>
                <w:szCs w:val="24"/>
              </w:rPr>
              <w:br/>
              <w:t xml:space="preserve">3. Przebudowa i odtworzenie sieci rowów i urządzeń melioracyjnych odwadniających tereny tzw. Bagien Chylońskich, obejmujących tereny przemysłowe w </w:t>
            </w:r>
            <w:proofErr w:type="spellStart"/>
            <w:r w:rsidRPr="00FF0084">
              <w:rPr>
                <w:rFonts w:asciiTheme="minorHAnsi" w:hAnsiTheme="minorHAnsi" w:cstheme="minorHAnsi"/>
                <w:b/>
                <w:bCs/>
                <w:color w:val="000000"/>
                <w:sz w:val="24"/>
                <w:szCs w:val="24"/>
              </w:rPr>
              <w:t>Rumi</w:t>
            </w:r>
            <w:proofErr w:type="spellEnd"/>
            <w:r w:rsidRPr="00FF0084">
              <w:rPr>
                <w:rFonts w:asciiTheme="minorHAnsi" w:hAnsiTheme="minorHAnsi" w:cstheme="minorHAnsi"/>
                <w:b/>
                <w:bCs/>
                <w:color w:val="000000"/>
                <w:sz w:val="24"/>
                <w:szCs w:val="24"/>
              </w:rPr>
              <w:t>, tereny przemysłowe Gdyni oraz tereny przeznaczone pod powiększenie Portu Gdynia (administracyjnie włączone w 2020 roku w granice portu morskiego w Gdyni, określone w Rozporządzeniu Ministra Gospodarki Morskiej i Żeglugi Śródlądowej z dnia 27 kwietnia 2020 r. w sprawie granicy portu morskiego w Gdyni)</w:t>
            </w:r>
            <w:r w:rsidRPr="00FF0084">
              <w:rPr>
                <w:rFonts w:asciiTheme="minorHAnsi" w:hAnsiTheme="minorHAnsi" w:cstheme="minorHAnsi"/>
                <w:b/>
                <w:bCs/>
                <w:color w:val="000000"/>
                <w:sz w:val="24"/>
                <w:szCs w:val="24"/>
              </w:rPr>
              <w:br/>
              <w:t>4. Opracowanie modelu hydrodynamicznego zlewni rzeki Zagórskiej Strugi wraz z kanalizacjami deszczowymi</w:t>
            </w:r>
            <w:r w:rsidRPr="00FF0084">
              <w:rPr>
                <w:rFonts w:asciiTheme="minorHAnsi" w:hAnsiTheme="minorHAnsi" w:cstheme="minorHAnsi"/>
                <w:b/>
                <w:bCs/>
                <w:color w:val="000000"/>
                <w:sz w:val="24"/>
                <w:szCs w:val="24"/>
              </w:rPr>
              <w:br/>
              <w:t>5. Opracowanie koncepcji kompletnego rozwiązania zagospodarowania wód opadowych i zabezpieczeń przeciwpowodziowych w zlewni Zagórskiej Strugi, ze szczególnym uwzględnieniem wód opadowo-roztopowych na terenach leśnych</w:t>
            </w:r>
            <w:r w:rsidRPr="00FF0084">
              <w:rPr>
                <w:rFonts w:asciiTheme="minorHAnsi" w:hAnsiTheme="minorHAnsi" w:cstheme="minorHAnsi"/>
                <w:color w:val="000000"/>
                <w:sz w:val="24"/>
                <w:szCs w:val="24"/>
              </w:rPr>
              <w:br/>
              <w:t xml:space="preserve">Kluczowi partnerzy: Wody Polskie, Port Gdynia, Lasy Państwowe, Pomorski Zespół Parków Krajobrazowych (Samorząd Województwa). Orientacyjna wartość całkowita przedsięwzięcia </w:t>
            </w:r>
            <w:r w:rsidRPr="00FF0084">
              <w:rPr>
                <w:rFonts w:asciiTheme="minorHAnsi" w:hAnsiTheme="minorHAnsi" w:cstheme="minorHAnsi"/>
                <w:color w:val="000000"/>
                <w:sz w:val="24"/>
                <w:szCs w:val="24"/>
              </w:rPr>
              <w:br/>
            </w:r>
            <w:r w:rsidRPr="00FF0084">
              <w:rPr>
                <w:rFonts w:asciiTheme="minorHAnsi" w:hAnsiTheme="minorHAnsi" w:cstheme="minorHAnsi"/>
                <w:color w:val="000000"/>
                <w:sz w:val="24"/>
                <w:szCs w:val="24"/>
              </w:rPr>
              <w:lastRenderedPageBreak/>
              <w:t>(w zł): 150 000 000</w:t>
            </w:r>
            <w:r w:rsidRPr="00FF0084">
              <w:rPr>
                <w:rFonts w:asciiTheme="minorHAnsi" w:hAnsiTheme="minorHAnsi" w:cstheme="minorHAnsi"/>
                <w:color w:val="000000"/>
                <w:sz w:val="24"/>
                <w:szCs w:val="24"/>
              </w:rPr>
              <w:br/>
              <w:t xml:space="preserve">Główne źródła i formy finansowania: </w:t>
            </w:r>
            <w:r w:rsidRPr="00FF0084">
              <w:rPr>
                <w:rFonts w:asciiTheme="minorHAnsi" w:hAnsiTheme="minorHAnsi" w:cstheme="minorHAnsi"/>
                <w:color w:val="000000"/>
                <w:sz w:val="24"/>
                <w:szCs w:val="24"/>
              </w:rPr>
              <w:br/>
              <w:t>1. Środki UE 2021 – 2027</w:t>
            </w:r>
            <w:r w:rsidRPr="00FF0084">
              <w:rPr>
                <w:rFonts w:asciiTheme="minorHAnsi" w:hAnsiTheme="minorHAnsi" w:cstheme="minorHAnsi"/>
                <w:color w:val="000000"/>
                <w:sz w:val="24"/>
                <w:szCs w:val="24"/>
              </w:rPr>
              <w:br/>
              <w:t>2. NFOŚiGW/</w:t>
            </w:r>
            <w:proofErr w:type="spellStart"/>
            <w:r w:rsidRPr="00FF0084">
              <w:rPr>
                <w:rFonts w:asciiTheme="minorHAnsi" w:hAnsiTheme="minorHAnsi" w:cstheme="minorHAnsi"/>
                <w:color w:val="000000"/>
                <w:sz w:val="24"/>
                <w:szCs w:val="24"/>
              </w:rPr>
              <w:t>WFOŚiGW</w:t>
            </w:r>
            <w:proofErr w:type="spellEnd"/>
            <w:r w:rsidRPr="00FF0084">
              <w:rPr>
                <w:rFonts w:asciiTheme="minorHAnsi" w:hAnsiTheme="minorHAnsi" w:cstheme="minorHAnsi"/>
                <w:color w:val="000000"/>
                <w:sz w:val="24"/>
                <w:szCs w:val="24"/>
              </w:rPr>
              <w:br/>
              <w:t>3. Środki własne PGW Wody Polskie</w:t>
            </w:r>
            <w:r w:rsidRPr="00FF0084">
              <w:rPr>
                <w:rFonts w:asciiTheme="minorHAnsi" w:hAnsiTheme="minorHAnsi" w:cstheme="minorHAnsi"/>
                <w:color w:val="000000"/>
                <w:sz w:val="24"/>
                <w:szCs w:val="24"/>
              </w:rPr>
              <w:br/>
              <w:t>4. Środki własne gmin i powiatów</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lastRenderedPageBreak/>
              <w:t xml:space="preserve">Zagrożenie powodziowe na przedmiotowym terenie wymaga kompleksowych działań, a jednocześnie dotyczy terenów o znaczeniu strategicznym dla regionu i kraju, tj. przeznaczonych pod rozwój portu morskiego w Gdyni. Nieujęcie tego zagadnienia w ramy przedsięwzięcia o charakterze i znaczeniu strategicznym, może skutkować brakiem finansowania, a co za tym idzie zwiększeniem ryzyka powodziowego dla przedmiotowego obszaru, w tym tempa rozwoju portu morskiego w Gdyni i całego łańcucha dostaw/specjalizacji z nim powiązanych, w tym sektora </w:t>
            </w:r>
            <w:proofErr w:type="spellStart"/>
            <w:r w:rsidRPr="00FF0084">
              <w:rPr>
                <w:rFonts w:asciiTheme="minorHAnsi" w:hAnsiTheme="minorHAnsi" w:cstheme="minorHAnsi"/>
                <w:color w:val="000000"/>
                <w:sz w:val="24"/>
                <w:szCs w:val="24"/>
              </w:rPr>
              <w:t>offshore</w:t>
            </w:r>
            <w:proofErr w:type="spellEnd"/>
            <w:r w:rsidRPr="00FF0084">
              <w:rPr>
                <w:rFonts w:asciiTheme="minorHAnsi" w:hAnsiTheme="minorHAnsi" w:cstheme="minorHAnsi"/>
                <w:color w:val="000000"/>
                <w:sz w:val="24"/>
                <w:szCs w:val="24"/>
              </w:rPr>
              <w:t xml:space="preserve"> na Morzu Bałtyckim.</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w:t>
            </w:r>
            <w:r w:rsidRPr="00FF0084">
              <w:rPr>
                <w:rFonts w:asciiTheme="minorHAnsi" w:hAnsiTheme="minorHAnsi" w:cstheme="minorHAnsi"/>
                <w:sz w:val="24"/>
                <w:szCs w:val="24"/>
              </w:rPr>
              <w:br/>
              <w:t>Działania mające na celu zabezpieczenie przeciwpowodziowe zlewni rzeki Zagórskiej Strugi nie znalazły się w dokumencie Planu Zarządzania Ryzykiem Powodziowym, nie wykonano dla Zagórskiej Strugi map zagrożenia i ryzyka powodziowego. W związku z tym nie wiadomo z czego wynika taka potrzeba. Nie ma podstaw do uwzględnienia jako przedsięwzięcie strategiczne.</w:t>
            </w:r>
          </w:p>
        </w:tc>
      </w:tr>
      <w:tr w:rsidR="002D117B" w:rsidRPr="002D117B" w:rsidTr="002D117B">
        <w:trPr>
          <w:trHeight w:val="186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20.</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21.06.2021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Centralny Wodociąg Żuławski Sp. z o.o.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Załączniki: zał. 2</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71/72</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Termin realizacji:  Luty 2021 do 31.12.2026 r. Zakres: </w:t>
            </w:r>
            <w:r w:rsidRPr="00FF0084">
              <w:rPr>
                <w:rFonts w:asciiTheme="minorHAnsi" w:hAnsiTheme="minorHAnsi" w:cstheme="minorHAnsi"/>
                <w:sz w:val="24"/>
                <w:szCs w:val="24"/>
              </w:rPr>
              <w:br/>
              <w:t>- wymiana najbardziej awaryjnej sieci wodociągowej z azbestocementu (40 km sieci).</w:t>
            </w:r>
            <w:r w:rsidRPr="00FF0084">
              <w:rPr>
                <w:rFonts w:asciiTheme="minorHAnsi" w:hAnsiTheme="minorHAnsi" w:cstheme="minorHAnsi"/>
                <w:sz w:val="24"/>
                <w:szCs w:val="24"/>
              </w:rPr>
              <w:br/>
              <w:t>- budowa stacji podnoszenia ciśnienia wody w miejscowości Stegna i Sztutowo.</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Ze względu na duży zakres przedsięwzięcia proponujemy wydłużenie terminu realizacji. Proponujemy zwiększenie długości sieci do wymiany. Poprawa zaopatrzenia w wodę mieszkańców </w:t>
            </w:r>
            <w:r w:rsidRPr="00FF0084">
              <w:rPr>
                <w:rFonts w:asciiTheme="minorHAnsi" w:hAnsiTheme="minorHAnsi" w:cstheme="minorHAnsi"/>
                <w:sz w:val="24"/>
                <w:szCs w:val="24"/>
              </w:rPr>
              <w:lastRenderedPageBreak/>
              <w:t>miejscowości Stegna i gminy Sztutowo.</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uwzględniona</w:t>
            </w:r>
          </w:p>
        </w:tc>
      </w:tr>
      <w:tr w:rsidR="002D117B" w:rsidRPr="002D117B" w:rsidTr="00FF0084">
        <w:trPr>
          <w:trHeight w:val="9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21.</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ogólna</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Projekt RPS nie uwzględnia problematyki zanieczyszczenia światłem.</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Uwaga nieuwzględniona. RPS </w:t>
            </w:r>
            <w:proofErr w:type="spellStart"/>
            <w:r w:rsidRPr="00FF0084">
              <w:rPr>
                <w:rFonts w:asciiTheme="minorHAnsi" w:hAnsiTheme="minorHAnsi" w:cstheme="minorHAnsi"/>
                <w:sz w:val="24"/>
                <w:szCs w:val="24"/>
              </w:rPr>
              <w:t>BŚiE</w:t>
            </w:r>
            <w:proofErr w:type="spellEnd"/>
            <w:r w:rsidRPr="00FF0084">
              <w:rPr>
                <w:rFonts w:asciiTheme="minorHAnsi" w:hAnsiTheme="minorHAnsi" w:cstheme="minorHAnsi"/>
                <w:sz w:val="24"/>
                <w:szCs w:val="24"/>
              </w:rPr>
              <w:t xml:space="preserve"> nie obejmuje wszystkich zagadnień z ochrony środowiska, dokonano wyboru strategicznego najważniejszych problemów.</w:t>
            </w:r>
          </w:p>
        </w:tc>
      </w:tr>
      <w:tr w:rsidR="00FF0084" w:rsidRPr="00FF0084" w:rsidTr="00FF0084">
        <w:trPr>
          <w:trHeight w:val="57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21553" w:type="dxa"/>
            <w:gridSpan w:val="8"/>
            <w:tcBorders>
              <w:top w:val="single" w:sz="4" w:space="0" w:color="auto"/>
              <w:left w:val="nil"/>
              <w:bottom w:val="single" w:sz="4" w:space="0" w:color="auto"/>
              <w:right w:val="single" w:sz="4" w:space="0" w:color="auto"/>
            </w:tcBorders>
            <w:shd w:val="clear" w:color="000000" w:fill="C6EFCE"/>
            <w:hideMark/>
          </w:tcPr>
          <w:p w:rsidR="00FF0084" w:rsidRPr="00FF0084" w:rsidRDefault="00FF0084" w:rsidP="002D117B">
            <w:pPr>
              <w:spacing w:line="276" w:lineRule="auto"/>
              <w:rPr>
                <w:rFonts w:asciiTheme="minorHAnsi" w:hAnsiTheme="minorHAnsi" w:cstheme="minorHAnsi"/>
                <w:b/>
                <w:bCs/>
                <w:color w:val="000000"/>
                <w:sz w:val="24"/>
                <w:szCs w:val="24"/>
              </w:rPr>
            </w:pPr>
            <w:r w:rsidRPr="00FF0084">
              <w:rPr>
                <w:rFonts w:asciiTheme="minorHAnsi" w:hAnsiTheme="minorHAnsi" w:cstheme="minorHAnsi"/>
                <w:b/>
                <w:bCs/>
                <w:color w:val="000000"/>
                <w:sz w:val="24"/>
                <w:szCs w:val="24"/>
              </w:rPr>
              <w:t xml:space="preserve">Prognoza </w:t>
            </w:r>
            <w:proofErr w:type="spellStart"/>
            <w:r w:rsidRPr="00FF0084">
              <w:rPr>
                <w:rFonts w:asciiTheme="minorHAnsi" w:hAnsiTheme="minorHAnsi" w:cstheme="minorHAnsi"/>
                <w:b/>
                <w:bCs/>
                <w:color w:val="000000"/>
                <w:sz w:val="24"/>
                <w:szCs w:val="24"/>
              </w:rPr>
              <w:t>ooś</w:t>
            </w:r>
            <w:proofErr w:type="spellEnd"/>
          </w:p>
        </w:tc>
      </w:tr>
      <w:tr w:rsidR="002D117B" w:rsidRPr="002D117B" w:rsidTr="00FF0084">
        <w:trPr>
          <w:trHeight w:val="15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22.</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Park Narodowy „Bory Tucholskie”</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Prognoza </w:t>
            </w:r>
            <w:proofErr w:type="spellStart"/>
            <w:r w:rsidRPr="00FF0084">
              <w:rPr>
                <w:rFonts w:asciiTheme="minorHAnsi" w:hAnsiTheme="minorHAnsi" w:cstheme="minorHAnsi"/>
                <w:sz w:val="24"/>
                <w:szCs w:val="24"/>
              </w:rPr>
              <w:t>ooś</w:t>
            </w:r>
            <w:proofErr w:type="spellEnd"/>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b/>
                <w:bCs/>
                <w:sz w:val="24"/>
                <w:szCs w:val="24"/>
              </w:rPr>
            </w:pPr>
            <w:r w:rsidRPr="00FF0084">
              <w:rPr>
                <w:rFonts w:asciiTheme="minorHAnsi" w:hAnsiTheme="minorHAnsi" w:cstheme="minorHAnsi"/>
                <w:b/>
                <w:bCs/>
                <w:sz w:val="24"/>
                <w:szCs w:val="24"/>
              </w:rPr>
              <w:t xml:space="preserve">Prognoza </w:t>
            </w:r>
            <w:proofErr w:type="spellStart"/>
            <w:r w:rsidRPr="00FF0084">
              <w:rPr>
                <w:rFonts w:asciiTheme="minorHAnsi" w:hAnsiTheme="minorHAnsi" w:cstheme="minorHAnsi"/>
                <w:b/>
                <w:bCs/>
                <w:sz w:val="24"/>
                <w:szCs w:val="24"/>
              </w:rPr>
              <w:t>ooś</w:t>
            </w:r>
            <w:proofErr w:type="spellEnd"/>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5.1.3. Obszary chronione - Park Narodowy „Bory Tucholskie” – aktualizacja danych wg poniższego: Na terenie Parku zlokalizowanych jest 8 jezior </w:t>
            </w:r>
            <w:proofErr w:type="spellStart"/>
            <w:r w:rsidRPr="00FF0084">
              <w:rPr>
                <w:rFonts w:asciiTheme="minorHAnsi" w:hAnsiTheme="minorHAnsi" w:cstheme="minorHAnsi"/>
                <w:sz w:val="24"/>
                <w:szCs w:val="24"/>
              </w:rPr>
              <w:t>lobeliowych</w:t>
            </w:r>
            <w:proofErr w:type="spellEnd"/>
            <w:r w:rsidRPr="00FF0084">
              <w:rPr>
                <w:rFonts w:asciiTheme="minorHAnsi" w:hAnsiTheme="minorHAnsi" w:cstheme="minorHAnsi"/>
                <w:sz w:val="24"/>
                <w:szCs w:val="24"/>
              </w:rPr>
              <w:t>. Fauna Parku liczy 217 gatunków kręgowców, w tym: 42 ssaków, 130 ptaków, 5 gadów, 11 płazów i 29 ryb oraz 1399 gatunków bezkręgowców. Dla Parku Narodowego „Bory Tucholskie” Rozporządzeniem Ministra Środowiska z dnia 15 grudnia 2008 r. został ustanowiony plan ochrony (Dz. U. 2008 nr 230, poz. 1545).</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2D117B" w:rsidP="002D117B">
            <w:pPr>
              <w:spacing w:line="276" w:lineRule="auto"/>
              <w:rPr>
                <w:rFonts w:asciiTheme="minorHAnsi" w:hAnsiTheme="minorHAnsi" w:cstheme="minorHAnsi"/>
                <w:sz w:val="24"/>
                <w:szCs w:val="24"/>
              </w:rPr>
            </w:pPr>
            <w:r>
              <w:rPr>
                <w:rFonts w:asciiTheme="minorHAnsi" w:hAnsiTheme="minorHAnsi" w:cstheme="minorHAnsi"/>
                <w:sz w:val="24"/>
                <w:szCs w:val="24"/>
              </w:rPr>
              <w:t>Uwaga uwzględniona. W następnych opracowaniach wykonywany</w:t>
            </w:r>
            <w:r w:rsidR="00FF0084" w:rsidRPr="00FF0084">
              <w:rPr>
                <w:rFonts w:asciiTheme="minorHAnsi" w:hAnsiTheme="minorHAnsi" w:cstheme="minorHAnsi"/>
                <w:sz w:val="24"/>
                <w:szCs w:val="24"/>
              </w:rPr>
              <w:t xml:space="preserve">ch przez samorząd województwa będzie wykorzystywana informacja przedłożona przez PN "Bory Tucholskie" w ramach konsultacji RPS </w:t>
            </w:r>
            <w:proofErr w:type="spellStart"/>
            <w:r w:rsidR="00FF0084" w:rsidRPr="00FF0084">
              <w:rPr>
                <w:rFonts w:asciiTheme="minorHAnsi" w:hAnsiTheme="minorHAnsi" w:cstheme="minorHAnsi"/>
                <w:sz w:val="24"/>
                <w:szCs w:val="24"/>
              </w:rPr>
              <w:t>BŚiE</w:t>
            </w:r>
            <w:proofErr w:type="spellEnd"/>
            <w:r w:rsidR="00FF0084" w:rsidRPr="00FF0084">
              <w:rPr>
                <w:rFonts w:asciiTheme="minorHAnsi" w:hAnsiTheme="minorHAnsi" w:cstheme="minorHAnsi"/>
                <w:sz w:val="24"/>
                <w:szCs w:val="24"/>
              </w:rPr>
              <w:t xml:space="preserve"> i Prognozy </w:t>
            </w:r>
            <w:proofErr w:type="spellStart"/>
            <w:r w:rsidR="00FF0084" w:rsidRPr="00FF0084">
              <w:rPr>
                <w:rFonts w:asciiTheme="minorHAnsi" w:hAnsiTheme="minorHAnsi" w:cstheme="minorHAnsi"/>
                <w:sz w:val="24"/>
                <w:szCs w:val="24"/>
              </w:rPr>
              <w:t>ooś</w:t>
            </w:r>
            <w:proofErr w:type="spellEnd"/>
            <w:r w:rsidR="00FF0084" w:rsidRPr="00FF0084">
              <w:rPr>
                <w:rFonts w:asciiTheme="minorHAnsi" w:hAnsiTheme="minorHAnsi" w:cstheme="minorHAnsi"/>
                <w:sz w:val="24"/>
                <w:szCs w:val="24"/>
              </w:rPr>
              <w:t>.</w:t>
            </w:r>
          </w:p>
        </w:tc>
      </w:tr>
      <w:tr w:rsidR="00FF0084" w:rsidRPr="00FF0084" w:rsidTr="00FF0084">
        <w:trPr>
          <w:trHeight w:val="6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21553" w:type="dxa"/>
            <w:gridSpan w:val="8"/>
            <w:tcBorders>
              <w:top w:val="single" w:sz="4" w:space="0" w:color="auto"/>
              <w:left w:val="nil"/>
              <w:bottom w:val="single" w:sz="4" w:space="0" w:color="auto"/>
              <w:right w:val="single" w:sz="4" w:space="0" w:color="auto"/>
            </w:tcBorders>
            <w:shd w:val="clear" w:color="000000" w:fill="F78181"/>
            <w:hideMark/>
          </w:tcPr>
          <w:p w:rsidR="00FF0084" w:rsidRPr="00FF0084" w:rsidRDefault="00FF0084" w:rsidP="002D117B">
            <w:pPr>
              <w:spacing w:line="276" w:lineRule="auto"/>
              <w:rPr>
                <w:rFonts w:asciiTheme="minorHAnsi" w:hAnsiTheme="minorHAnsi" w:cstheme="minorHAnsi"/>
                <w:b/>
                <w:bCs/>
                <w:sz w:val="24"/>
                <w:szCs w:val="24"/>
              </w:rPr>
            </w:pPr>
            <w:r w:rsidRPr="00FF0084">
              <w:rPr>
                <w:rFonts w:asciiTheme="minorHAnsi" w:hAnsiTheme="minorHAnsi" w:cstheme="minorHAnsi"/>
                <w:b/>
                <w:bCs/>
                <w:sz w:val="24"/>
                <w:szCs w:val="24"/>
              </w:rPr>
              <w:t>Uwagi PO TERMINIE</w:t>
            </w:r>
          </w:p>
        </w:tc>
      </w:tr>
      <w:tr w:rsidR="002D117B" w:rsidRPr="002D117B" w:rsidTr="002D117B">
        <w:trPr>
          <w:trHeight w:val="18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23.</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23.06.2021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Gmina Władysławowo</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1.2.2 Ochrona wód i ekosystemów od wód zależnych, w szczególności jezior</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34</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urządzanie i zagospodarowanie terenów wokół rzek, jezior i zbiorników wodnych w celu ograniczenia spływu powierzchniowego i antropopresji oraz działania zmierzające do likwidacji istniejących czynników pochodzenia antropogenicznego zanieczyszczających ekosystemy wodne</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Na terenie m.in. Nadmorskiego Obszaru Chronionego Krajobrazu istnieją obszary zagospodarowane liczną </w:t>
            </w:r>
            <w:proofErr w:type="spellStart"/>
            <w:r w:rsidRPr="00FF0084">
              <w:rPr>
                <w:rFonts w:asciiTheme="minorHAnsi" w:hAnsiTheme="minorHAnsi" w:cstheme="minorHAnsi"/>
                <w:sz w:val="24"/>
                <w:szCs w:val="24"/>
              </w:rPr>
              <w:t>substandardową</w:t>
            </w:r>
            <w:proofErr w:type="spellEnd"/>
            <w:r w:rsidRPr="00FF0084">
              <w:rPr>
                <w:rFonts w:asciiTheme="minorHAnsi" w:hAnsiTheme="minorHAnsi" w:cstheme="minorHAnsi"/>
                <w:sz w:val="24"/>
                <w:szCs w:val="24"/>
              </w:rPr>
              <w:t xml:space="preserve"> zabudową na terenach zalewowych w bezpośrednim sąsiedztwie rzek i kanałów wodnych – gdzie nieczystości ciekłe odprowadzane są wprost do gruntu i sąsiadujących </w:t>
            </w:r>
            <w:r w:rsidRPr="00FF0084">
              <w:rPr>
                <w:rFonts w:asciiTheme="minorHAnsi" w:hAnsiTheme="minorHAnsi" w:cstheme="minorHAnsi"/>
                <w:sz w:val="24"/>
                <w:szCs w:val="24"/>
              </w:rPr>
              <w:lastRenderedPageBreak/>
              <w:t>cieków wodnych poza wszelką kontrolą.</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 xml:space="preserve">Uwaga nieuwzględniona - proponowane działania związane są ze stosowaniem obowiązującego prawa (ustawa o utrzymaniu czystości i porządku w gminach) </w:t>
            </w:r>
          </w:p>
        </w:tc>
      </w:tr>
      <w:tr w:rsidR="002D117B" w:rsidRPr="002D117B" w:rsidTr="002D117B">
        <w:trPr>
          <w:trHeight w:val="6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24.</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23.06.2021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Gmina Władysławowo</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1.2.3</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35</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budowa/ przebudowa/modernizacja i poprawa stanu technicznego przepustów i przejść dla zwierząt</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Zapisy działania powinny umożliwiać podejmowania jakichkolwiek działań służących ochronie zwierząt.</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 przyjęte w RPS pojęcie "modernizacji" jest wystarczająco szerokie</w:t>
            </w:r>
          </w:p>
        </w:tc>
      </w:tr>
      <w:tr w:rsidR="002D117B" w:rsidRPr="002D117B" w:rsidTr="002D117B">
        <w:trPr>
          <w:trHeight w:val="237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25.</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23.06.2021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Gmina Władysławowo</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1.2.3 Ochrona walorów przyrodniczo-krajobrazowych w szczególności na obszarach objętych formami ochrony przyrody oraz przeciwdziałanie fragmentacji przestrzeni przyrodniczej</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36</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Rozszerzyć o działania zmierzające do inwentaryzacji oraz likwidacji czynników </w:t>
            </w:r>
            <w:proofErr w:type="spellStart"/>
            <w:r w:rsidRPr="00FF0084">
              <w:rPr>
                <w:rFonts w:asciiTheme="minorHAnsi" w:hAnsiTheme="minorHAnsi" w:cstheme="minorHAnsi"/>
                <w:sz w:val="24"/>
                <w:szCs w:val="24"/>
              </w:rPr>
              <w:t>defragmentujących</w:t>
            </w:r>
            <w:proofErr w:type="spellEnd"/>
            <w:r w:rsidRPr="00FF0084">
              <w:rPr>
                <w:rFonts w:asciiTheme="minorHAnsi" w:hAnsiTheme="minorHAnsi" w:cstheme="minorHAnsi"/>
                <w:sz w:val="24"/>
                <w:szCs w:val="24"/>
              </w:rPr>
              <w:t xml:space="preserve"> przestrzeń przyrodniczą i stanowiących bariery wewnątrz korytarzy ekologicznych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Na terenach objętych formami ochrony przyrody w miejscach z zakazem zabudowy istnieje wiele nielegalnych obiektów (budynki, ogrodzenia) </w:t>
            </w:r>
            <w:proofErr w:type="spellStart"/>
            <w:r w:rsidRPr="00FF0084">
              <w:rPr>
                <w:rFonts w:asciiTheme="minorHAnsi" w:hAnsiTheme="minorHAnsi" w:cstheme="minorHAnsi"/>
                <w:sz w:val="24"/>
                <w:szCs w:val="24"/>
              </w:rPr>
              <w:t>defragmentujących</w:t>
            </w:r>
            <w:proofErr w:type="spellEnd"/>
            <w:r w:rsidRPr="00FF0084">
              <w:rPr>
                <w:rFonts w:asciiTheme="minorHAnsi" w:hAnsiTheme="minorHAnsi" w:cstheme="minorHAnsi"/>
                <w:sz w:val="24"/>
                <w:szCs w:val="24"/>
              </w:rPr>
              <w:t xml:space="preserve"> cenne przyrodniczo obszary i stanowiące bariery wewnątrz korytarzy ekologicznych.</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 w RPS znajduje się zapis "przy</w:t>
            </w:r>
            <w:r w:rsidR="002D117B">
              <w:rPr>
                <w:rFonts w:asciiTheme="minorHAnsi" w:hAnsiTheme="minorHAnsi" w:cstheme="minorHAnsi"/>
                <w:sz w:val="24"/>
                <w:szCs w:val="24"/>
              </w:rPr>
              <w:t>wracanie drożności i poprawa cią</w:t>
            </w:r>
            <w:r w:rsidRPr="00FF0084">
              <w:rPr>
                <w:rFonts w:asciiTheme="minorHAnsi" w:hAnsiTheme="minorHAnsi" w:cstheme="minorHAnsi"/>
                <w:sz w:val="24"/>
                <w:szCs w:val="24"/>
              </w:rPr>
              <w:t>głości oraz funkcjonowania korytarzy ekologicznych" zaproponowany zapis mieści się w wskazanym wyżej zakresie interwencji.</w:t>
            </w:r>
          </w:p>
        </w:tc>
      </w:tr>
    </w:tbl>
    <w:p w:rsidR="005C1E92" w:rsidRDefault="005C1E92" w:rsidP="002D117B"/>
    <w:sectPr w:rsidR="005C1E92" w:rsidSect="00FF0084">
      <w:foot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439" w:rsidRDefault="00CD4439" w:rsidP="00733DEE">
      <w:r>
        <w:separator/>
      </w:r>
    </w:p>
  </w:endnote>
  <w:endnote w:type="continuationSeparator" w:id="0">
    <w:p w:rsidR="00CD4439" w:rsidRDefault="00CD4439" w:rsidP="0073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43013"/>
      <w:docPartObj>
        <w:docPartGallery w:val="Page Numbers (Bottom of Page)"/>
        <w:docPartUnique/>
      </w:docPartObj>
    </w:sdtPr>
    <w:sdtEndPr/>
    <w:sdtContent>
      <w:p w:rsidR="00A56210" w:rsidRDefault="00A56210">
        <w:pPr>
          <w:pStyle w:val="Stopka"/>
          <w:jc w:val="right"/>
        </w:pPr>
        <w:r>
          <w:fldChar w:fldCharType="begin"/>
        </w:r>
        <w:r>
          <w:instrText>PAGE   \* MERGEFORMAT</w:instrText>
        </w:r>
        <w:r>
          <w:fldChar w:fldCharType="separate"/>
        </w:r>
        <w:r w:rsidR="007A136A">
          <w:rPr>
            <w:noProof/>
          </w:rPr>
          <w:t>1</w:t>
        </w:r>
        <w:r>
          <w:fldChar w:fldCharType="end"/>
        </w:r>
      </w:p>
    </w:sdtContent>
  </w:sdt>
  <w:p w:rsidR="00733DEE" w:rsidRDefault="00733D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439" w:rsidRDefault="00CD4439" w:rsidP="00733DEE">
      <w:r>
        <w:separator/>
      </w:r>
    </w:p>
  </w:footnote>
  <w:footnote w:type="continuationSeparator" w:id="0">
    <w:p w:rsidR="00CD4439" w:rsidRDefault="00CD4439" w:rsidP="00733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2B2"/>
    <w:multiLevelType w:val="hybridMultilevel"/>
    <w:tmpl w:val="81AC2DEA"/>
    <w:lvl w:ilvl="0" w:tplc="65144ED8">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15:restartNumberingAfterBreak="0">
    <w:nsid w:val="5B910152"/>
    <w:multiLevelType w:val="multilevel"/>
    <w:tmpl w:val="C214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9C036A"/>
    <w:multiLevelType w:val="hybridMultilevel"/>
    <w:tmpl w:val="5A608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823C6E"/>
    <w:multiLevelType w:val="hybridMultilevel"/>
    <w:tmpl w:val="ADD2C352"/>
    <w:lvl w:ilvl="0" w:tplc="9468DC2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842702"/>
    <w:multiLevelType w:val="hybridMultilevel"/>
    <w:tmpl w:val="739CB27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143E77"/>
    <w:multiLevelType w:val="hybridMultilevel"/>
    <w:tmpl w:val="94B21868"/>
    <w:lvl w:ilvl="0" w:tplc="89FE7B1E">
      <w:start w:val="1"/>
      <w:numFmt w:val="decimal"/>
      <w:lvlText w:val="%1."/>
      <w:lvlJc w:val="left"/>
      <w:pPr>
        <w:ind w:left="34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92"/>
    <w:rsid w:val="00020926"/>
    <w:rsid w:val="000355B4"/>
    <w:rsid w:val="000D5BFA"/>
    <w:rsid w:val="0026570A"/>
    <w:rsid w:val="002D117B"/>
    <w:rsid w:val="00357E78"/>
    <w:rsid w:val="003E1245"/>
    <w:rsid w:val="003E17F4"/>
    <w:rsid w:val="00434CA6"/>
    <w:rsid w:val="00503E00"/>
    <w:rsid w:val="005C1E92"/>
    <w:rsid w:val="006B6029"/>
    <w:rsid w:val="00731FCA"/>
    <w:rsid w:val="00733DEE"/>
    <w:rsid w:val="007A136A"/>
    <w:rsid w:val="00812745"/>
    <w:rsid w:val="00891ADA"/>
    <w:rsid w:val="00892680"/>
    <w:rsid w:val="0096015A"/>
    <w:rsid w:val="00A322F9"/>
    <w:rsid w:val="00A56210"/>
    <w:rsid w:val="00B12CA3"/>
    <w:rsid w:val="00BC616E"/>
    <w:rsid w:val="00C47AFF"/>
    <w:rsid w:val="00C53084"/>
    <w:rsid w:val="00C931AA"/>
    <w:rsid w:val="00CD4439"/>
    <w:rsid w:val="00D15C4B"/>
    <w:rsid w:val="00D730E9"/>
    <w:rsid w:val="00F64579"/>
    <w:rsid w:val="00FE21FD"/>
    <w:rsid w:val="00FF0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53CB"/>
  <w15:chartTrackingRefBased/>
  <w15:docId w15:val="{8518F14C-7CAC-4B33-B088-F99E14D9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7F4"/>
    <w:pPr>
      <w:spacing w:after="0" w:line="240" w:lineRule="auto"/>
    </w:pPr>
    <w:rPr>
      <w:rFonts w:ascii="Arial" w:hAnsi="Arial" w:cs="Times New Roman"/>
      <w:szCs w:val="20"/>
      <w:lang w:eastAsia="pl-PL"/>
    </w:rPr>
  </w:style>
  <w:style w:type="paragraph" w:styleId="Nagwek1">
    <w:name w:val="heading 1"/>
    <w:basedOn w:val="Normalny"/>
    <w:next w:val="Normalny"/>
    <w:link w:val="Nagwek1Znak"/>
    <w:uiPriority w:val="9"/>
    <w:qFormat/>
    <w:rsid w:val="000355B4"/>
    <w:pPr>
      <w:keepNext/>
      <w:keepLines/>
      <w:spacing w:before="360" w:after="240" w:line="276" w:lineRule="auto"/>
      <w:jc w:val="center"/>
      <w:outlineLvl w:val="0"/>
    </w:pPr>
    <w:rPr>
      <w:rFonts w:asciiTheme="minorHAnsi" w:eastAsiaTheme="majorEastAsia" w:hAnsiTheme="minorHAnsi" w:cstheme="majorBidi"/>
      <w:b/>
      <w:sz w:val="28"/>
      <w:szCs w:val="32"/>
      <w:lang w:eastAsia="en-US"/>
    </w:rPr>
  </w:style>
  <w:style w:type="paragraph" w:styleId="Nagwek2">
    <w:name w:val="heading 2"/>
    <w:basedOn w:val="Normalny"/>
    <w:next w:val="Normalny"/>
    <w:link w:val="Nagwek2Znak"/>
    <w:uiPriority w:val="9"/>
    <w:qFormat/>
    <w:rsid w:val="006B6029"/>
    <w:pPr>
      <w:keepNext/>
      <w:spacing w:before="240" w:after="120" w:line="276" w:lineRule="auto"/>
      <w:jc w:val="right"/>
      <w:outlineLvl w:val="1"/>
    </w:pPr>
    <w:rPr>
      <w:rFonts w:asciiTheme="minorHAnsi" w:hAnsiTheme="minorHAnsi" w:cstheme="minorBidi"/>
      <w:bCs/>
      <w:iCs/>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55B4"/>
    <w:rPr>
      <w:rFonts w:eastAsiaTheme="majorEastAsia" w:cstheme="majorBidi"/>
      <w:b/>
      <w:sz w:val="28"/>
      <w:szCs w:val="32"/>
    </w:rPr>
  </w:style>
  <w:style w:type="character" w:customStyle="1" w:styleId="Nagwek2Znak">
    <w:name w:val="Nagłówek 2 Znak"/>
    <w:link w:val="Nagwek2"/>
    <w:uiPriority w:val="9"/>
    <w:rsid w:val="006B6029"/>
    <w:rPr>
      <w:bCs/>
      <w:iCs/>
      <w:lang w:val="x-none" w:eastAsia="x-none"/>
    </w:rPr>
  </w:style>
  <w:style w:type="paragraph" w:styleId="Akapitzlist">
    <w:name w:val="List Paragraph"/>
    <w:basedOn w:val="Normalny"/>
    <w:uiPriority w:val="34"/>
    <w:qFormat/>
    <w:rsid w:val="003E17F4"/>
    <w:pPr>
      <w:ind w:left="720"/>
      <w:contextualSpacing/>
    </w:pPr>
  </w:style>
  <w:style w:type="paragraph" w:styleId="Nagwek">
    <w:name w:val="header"/>
    <w:basedOn w:val="Normalny"/>
    <w:link w:val="NagwekZnak"/>
    <w:uiPriority w:val="99"/>
    <w:unhideWhenUsed/>
    <w:rsid w:val="00733DEE"/>
    <w:pPr>
      <w:tabs>
        <w:tab w:val="center" w:pos="4536"/>
        <w:tab w:val="right" w:pos="9072"/>
      </w:tabs>
    </w:pPr>
  </w:style>
  <w:style w:type="character" w:customStyle="1" w:styleId="NagwekZnak">
    <w:name w:val="Nagłówek Znak"/>
    <w:basedOn w:val="Domylnaczcionkaakapitu"/>
    <w:link w:val="Nagwek"/>
    <w:uiPriority w:val="99"/>
    <w:rsid w:val="00733DEE"/>
    <w:rPr>
      <w:rFonts w:ascii="Arial" w:hAnsi="Arial" w:cs="Times New Roman"/>
      <w:szCs w:val="20"/>
      <w:lang w:eastAsia="pl-PL"/>
    </w:rPr>
  </w:style>
  <w:style w:type="paragraph" w:styleId="Stopka">
    <w:name w:val="footer"/>
    <w:basedOn w:val="Normalny"/>
    <w:link w:val="StopkaZnak"/>
    <w:uiPriority w:val="99"/>
    <w:unhideWhenUsed/>
    <w:rsid w:val="00733DEE"/>
    <w:pPr>
      <w:tabs>
        <w:tab w:val="center" w:pos="4536"/>
        <w:tab w:val="right" w:pos="9072"/>
      </w:tabs>
    </w:pPr>
  </w:style>
  <w:style w:type="character" w:customStyle="1" w:styleId="StopkaZnak">
    <w:name w:val="Stopka Znak"/>
    <w:basedOn w:val="Domylnaczcionkaakapitu"/>
    <w:link w:val="Stopka"/>
    <w:uiPriority w:val="99"/>
    <w:rsid w:val="00733DEE"/>
    <w:rPr>
      <w:rFonts w:ascii="Arial"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9521">
      <w:bodyDiv w:val="1"/>
      <w:marLeft w:val="0"/>
      <w:marRight w:val="0"/>
      <w:marTop w:val="0"/>
      <w:marBottom w:val="0"/>
      <w:divBdr>
        <w:top w:val="none" w:sz="0" w:space="0" w:color="auto"/>
        <w:left w:val="none" w:sz="0" w:space="0" w:color="auto"/>
        <w:bottom w:val="none" w:sz="0" w:space="0" w:color="auto"/>
        <w:right w:val="none" w:sz="0" w:space="0" w:color="auto"/>
      </w:divBdr>
    </w:div>
    <w:div w:id="304508350">
      <w:bodyDiv w:val="1"/>
      <w:marLeft w:val="0"/>
      <w:marRight w:val="0"/>
      <w:marTop w:val="0"/>
      <w:marBottom w:val="0"/>
      <w:divBdr>
        <w:top w:val="none" w:sz="0" w:space="0" w:color="auto"/>
        <w:left w:val="none" w:sz="0" w:space="0" w:color="auto"/>
        <w:bottom w:val="none" w:sz="0" w:space="0" w:color="auto"/>
        <w:right w:val="none" w:sz="0" w:space="0" w:color="auto"/>
      </w:divBdr>
    </w:div>
    <w:div w:id="760683444">
      <w:bodyDiv w:val="1"/>
      <w:marLeft w:val="0"/>
      <w:marRight w:val="0"/>
      <w:marTop w:val="0"/>
      <w:marBottom w:val="0"/>
      <w:divBdr>
        <w:top w:val="none" w:sz="0" w:space="0" w:color="auto"/>
        <w:left w:val="none" w:sz="0" w:space="0" w:color="auto"/>
        <w:bottom w:val="none" w:sz="0" w:space="0" w:color="auto"/>
        <w:right w:val="none" w:sz="0" w:space="0" w:color="auto"/>
      </w:divBdr>
    </w:div>
    <w:div w:id="865171481">
      <w:bodyDiv w:val="1"/>
      <w:marLeft w:val="0"/>
      <w:marRight w:val="0"/>
      <w:marTop w:val="0"/>
      <w:marBottom w:val="0"/>
      <w:divBdr>
        <w:top w:val="none" w:sz="0" w:space="0" w:color="auto"/>
        <w:left w:val="none" w:sz="0" w:space="0" w:color="auto"/>
        <w:bottom w:val="none" w:sz="0" w:space="0" w:color="auto"/>
        <w:right w:val="none" w:sz="0" w:space="0" w:color="auto"/>
      </w:divBdr>
    </w:div>
    <w:div w:id="1358116384">
      <w:bodyDiv w:val="1"/>
      <w:marLeft w:val="0"/>
      <w:marRight w:val="0"/>
      <w:marTop w:val="0"/>
      <w:marBottom w:val="0"/>
      <w:divBdr>
        <w:top w:val="none" w:sz="0" w:space="0" w:color="auto"/>
        <w:left w:val="none" w:sz="0" w:space="0" w:color="auto"/>
        <w:bottom w:val="none" w:sz="0" w:space="0" w:color="auto"/>
        <w:right w:val="none" w:sz="0" w:space="0" w:color="auto"/>
      </w:divBdr>
    </w:div>
    <w:div w:id="1396852342">
      <w:bodyDiv w:val="1"/>
      <w:marLeft w:val="0"/>
      <w:marRight w:val="0"/>
      <w:marTop w:val="0"/>
      <w:marBottom w:val="0"/>
      <w:divBdr>
        <w:top w:val="none" w:sz="0" w:space="0" w:color="auto"/>
        <w:left w:val="none" w:sz="0" w:space="0" w:color="auto"/>
        <w:bottom w:val="none" w:sz="0" w:space="0" w:color="auto"/>
        <w:right w:val="none" w:sz="0" w:space="0" w:color="auto"/>
      </w:divBdr>
    </w:div>
    <w:div w:id="1478257403">
      <w:bodyDiv w:val="1"/>
      <w:marLeft w:val="0"/>
      <w:marRight w:val="0"/>
      <w:marTop w:val="0"/>
      <w:marBottom w:val="0"/>
      <w:divBdr>
        <w:top w:val="none" w:sz="0" w:space="0" w:color="auto"/>
        <w:left w:val="none" w:sz="0" w:space="0" w:color="auto"/>
        <w:bottom w:val="none" w:sz="0" w:space="0" w:color="auto"/>
        <w:right w:val="none" w:sz="0" w:space="0" w:color="auto"/>
      </w:divBdr>
    </w:div>
    <w:div w:id="1912961641">
      <w:bodyDiv w:val="1"/>
      <w:marLeft w:val="0"/>
      <w:marRight w:val="0"/>
      <w:marTop w:val="0"/>
      <w:marBottom w:val="0"/>
      <w:divBdr>
        <w:top w:val="none" w:sz="0" w:space="0" w:color="auto"/>
        <w:left w:val="none" w:sz="0" w:space="0" w:color="auto"/>
        <w:bottom w:val="none" w:sz="0" w:space="0" w:color="auto"/>
        <w:right w:val="none" w:sz="0" w:space="0" w:color="auto"/>
      </w:divBdr>
    </w:div>
    <w:div w:id="20533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A3FB-EF43-4222-B546-05A3B925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3404</Words>
  <Characters>20424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opinie z RDOŚ, UM Gdynia do RPS EiŚ</vt:lpstr>
    </vt:vector>
  </TitlesOfParts>
  <Company>umwp</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uwagi z konsultacji RPS ŚiE</dc:title>
  <dc:subject/>
  <dc:creator>Romanowska Martyna</dc:creator>
  <cp:keywords>konsultacje; RPS</cp:keywords>
  <dc:description/>
  <cp:lastModifiedBy>Romanowska Martyna</cp:lastModifiedBy>
  <cp:revision>5</cp:revision>
  <cp:lastPrinted>2021-07-28T12:42:00Z</cp:lastPrinted>
  <dcterms:created xsi:type="dcterms:W3CDTF">2021-07-28T12:39:00Z</dcterms:created>
  <dcterms:modified xsi:type="dcterms:W3CDTF">2021-07-28T12:42:00Z</dcterms:modified>
</cp:coreProperties>
</file>