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B99" w:rsidRPr="002D117B" w:rsidRDefault="00C931AA" w:rsidP="002D117B">
      <w:pPr>
        <w:pStyle w:val="Nagwek2"/>
        <w:rPr>
          <w:sz w:val="24"/>
          <w:szCs w:val="24"/>
          <w:lang w:val="pl-PL"/>
        </w:rPr>
      </w:pPr>
      <w:r>
        <w:rPr>
          <w:sz w:val="24"/>
          <w:szCs w:val="24"/>
        </w:rPr>
        <w:t>Załącznik nr 1</w:t>
      </w:r>
      <w:r w:rsidR="00D15C4B" w:rsidRPr="002D117B">
        <w:rPr>
          <w:sz w:val="24"/>
          <w:szCs w:val="24"/>
        </w:rPr>
        <w:t xml:space="preserve"> </w:t>
      </w:r>
      <w:r w:rsidR="00020926" w:rsidRPr="002D117B">
        <w:rPr>
          <w:sz w:val="24"/>
          <w:szCs w:val="24"/>
          <w:lang w:val="pl-PL"/>
        </w:rPr>
        <w:t xml:space="preserve">do </w:t>
      </w:r>
      <w:r>
        <w:rPr>
          <w:sz w:val="24"/>
          <w:szCs w:val="24"/>
          <w:lang w:val="pl-PL"/>
        </w:rPr>
        <w:t>Uzasadnienia</w:t>
      </w:r>
      <w:r w:rsidR="00D730E9" w:rsidRPr="002D117B">
        <w:rPr>
          <w:sz w:val="24"/>
          <w:szCs w:val="24"/>
          <w:lang w:val="pl-PL"/>
        </w:rPr>
        <w:t xml:space="preserve"> do RPS </w:t>
      </w:r>
      <w:proofErr w:type="spellStart"/>
      <w:r w:rsidR="00AA5D82">
        <w:rPr>
          <w:sz w:val="24"/>
          <w:szCs w:val="24"/>
          <w:lang w:val="pl-PL"/>
        </w:rPr>
        <w:t>BŚiE</w:t>
      </w:r>
      <w:bookmarkStart w:id="0" w:name="_GoBack"/>
      <w:bookmarkEnd w:id="0"/>
      <w:proofErr w:type="spellEnd"/>
    </w:p>
    <w:p w:rsidR="00C53084" w:rsidRPr="002D117B" w:rsidRDefault="000355B4" w:rsidP="000355B4">
      <w:pPr>
        <w:pStyle w:val="Nagwek1"/>
      </w:pPr>
      <w:r w:rsidRPr="000355B4">
        <w:t>Sposób i zakres uwzględnienia uwag i wniosków do projektu Regionalnego Programu Strategicznego w zakresie bezpieczeństwa środowiskowego i energetycznego zgłoszonych w związku z</w:t>
      </w:r>
      <w:r>
        <w:t> </w:t>
      </w:r>
      <w:r w:rsidRPr="000355B4">
        <w:t>udziałem społeczeństwa na podstawie art. 54 ust. 2 ustawy z dnia 3 października 2008 r. o udostępnianiu informacji o środowisku i jego ochronie, udziale społeczeństwa w ochronie środowiska oraz o ocenach oddziaływania na środowisko</w:t>
      </w:r>
    </w:p>
    <w:p w:rsidR="00FE21FD" w:rsidRPr="002D117B" w:rsidRDefault="00FE21FD" w:rsidP="002D117B">
      <w:pPr>
        <w:rPr>
          <w:lang w:eastAsia="en-US"/>
        </w:rPr>
      </w:pPr>
    </w:p>
    <w:tbl>
      <w:tblPr>
        <w:tblW w:w="21972" w:type="dxa"/>
        <w:tblInd w:w="-5" w:type="dxa"/>
        <w:tblCellMar>
          <w:left w:w="70" w:type="dxa"/>
          <w:right w:w="70" w:type="dxa"/>
        </w:tblCellMar>
        <w:tblLook w:val="04A0" w:firstRow="1" w:lastRow="0" w:firstColumn="1" w:lastColumn="0" w:noHBand="0" w:noVBand="1"/>
      </w:tblPr>
      <w:tblGrid>
        <w:gridCol w:w="444"/>
        <w:gridCol w:w="1235"/>
        <w:gridCol w:w="1628"/>
        <w:gridCol w:w="1050"/>
        <w:gridCol w:w="1967"/>
        <w:gridCol w:w="799"/>
        <w:gridCol w:w="6278"/>
        <w:gridCol w:w="2909"/>
        <w:gridCol w:w="5662"/>
      </w:tblGrid>
      <w:tr w:rsidR="00FF0084" w:rsidRPr="002D117B" w:rsidTr="0026570A">
        <w:trPr>
          <w:trHeight w:val="1185"/>
          <w:tblHeader/>
        </w:trPr>
        <w:tc>
          <w:tcPr>
            <w:tcW w:w="419"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FF0084" w:rsidRPr="00FF0084" w:rsidRDefault="00FF0084" w:rsidP="0026570A">
            <w:pPr>
              <w:spacing w:line="276" w:lineRule="auto"/>
              <w:jc w:val="center"/>
              <w:rPr>
                <w:rFonts w:asciiTheme="minorHAnsi" w:hAnsiTheme="minorHAnsi" w:cstheme="minorHAnsi"/>
                <w:b/>
                <w:bCs/>
                <w:color w:val="283E1A"/>
                <w:sz w:val="24"/>
                <w:szCs w:val="24"/>
              </w:rPr>
            </w:pPr>
            <w:r w:rsidRPr="00FF0084">
              <w:rPr>
                <w:rFonts w:asciiTheme="minorHAnsi" w:hAnsiTheme="minorHAnsi" w:cstheme="minorHAnsi"/>
                <w:b/>
                <w:bCs/>
                <w:color w:val="283E1A"/>
                <w:sz w:val="24"/>
                <w:szCs w:val="24"/>
              </w:rPr>
              <w:t>Lp.</w:t>
            </w:r>
          </w:p>
        </w:tc>
        <w:tc>
          <w:tcPr>
            <w:tcW w:w="1144" w:type="dxa"/>
            <w:tcBorders>
              <w:top w:val="single" w:sz="4" w:space="0" w:color="auto"/>
              <w:left w:val="nil"/>
              <w:bottom w:val="single" w:sz="4" w:space="0" w:color="auto"/>
              <w:right w:val="single" w:sz="4" w:space="0" w:color="auto"/>
            </w:tcBorders>
            <w:shd w:val="clear" w:color="000000" w:fill="C6EFCE"/>
            <w:vAlign w:val="center"/>
            <w:hideMark/>
          </w:tcPr>
          <w:p w:rsidR="00FF0084" w:rsidRPr="00FF0084" w:rsidRDefault="00FF0084" w:rsidP="0026570A">
            <w:pPr>
              <w:spacing w:line="276" w:lineRule="auto"/>
              <w:jc w:val="center"/>
              <w:rPr>
                <w:rFonts w:asciiTheme="minorHAnsi" w:hAnsiTheme="minorHAnsi" w:cstheme="minorHAnsi"/>
                <w:b/>
                <w:bCs/>
                <w:color w:val="283E1A"/>
                <w:sz w:val="24"/>
                <w:szCs w:val="24"/>
              </w:rPr>
            </w:pPr>
            <w:r w:rsidRPr="00FF0084">
              <w:rPr>
                <w:rFonts w:asciiTheme="minorHAnsi" w:hAnsiTheme="minorHAnsi" w:cstheme="minorHAnsi"/>
                <w:b/>
                <w:bCs/>
                <w:color w:val="283E1A"/>
                <w:sz w:val="24"/>
                <w:szCs w:val="24"/>
              </w:rPr>
              <w:t>Data wpływu</w:t>
            </w:r>
          </w:p>
        </w:tc>
        <w:tc>
          <w:tcPr>
            <w:tcW w:w="1504" w:type="dxa"/>
            <w:tcBorders>
              <w:top w:val="single" w:sz="4" w:space="0" w:color="auto"/>
              <w:left w:val="nil"/>
              <w:bottom w:val="single" w:sz="4" w:space="0" w:color="auto"/>
              <w:right w:val="single" w:sz="4" w:space="0" w:color="auto"/>
            </w:tcBorders>
            <w:shd w:val="clear" w:color="000000" w:fill="C6EFCE"/>
            <w:vAlign w:val="center"/>
            <w:hideMark/>
          </w:tcPr>
          <w:p w:rsidR="00FF0084" w:rsidRPr="00FF0084" w:rsidRDefault="00FF0084" w:rsidP="0026570A">
            <w:pPr>
              <w:spacing w:line="276" w:lineRule="auto"/>
              <w:jc w:val="center"/>
              <w:rPr>
                <w:rFonts w:asciiTheme="minorHAnsi" w:hAnsiTheme="minorHAnsi" w:cstheme="minorHAnsi"/>
                <w:b/>
                <w:bCs/>
                <w:color w:val="283E1A"/>
                <w:sz w:val="24"/>
                <w:szCs w:val="24"/>
              </w:rPr>
            </w:pPr>
            <w:r w:rsidRPr="00FF0084">
              <w:rPr>
                <w:rFonts w:asciiTheme="minorHAnsi" w:hAnsiTheme="minorHAnsi" w:cstheme="minorHAnsi"/>
                <w:b/>
                <w:bCs/>
                <w:color w:val="283E1A"/>
                <w:sz w:val="24"/>
                <w:szCs w:val="24"/>
              </w:rPr>
              <w:t>Od kogo</w:t>
            </w:r>
          </w:p>
        </w:tc>
        <w:tc>
          <w:tcPr>
            <w:tcW w:w="974" w:type="dxa"/>
            <w:tcBorders>
              <w:top w:val="single" w:sz="4" w:space="0" w:color="auto"/>
              <w:left w:val="nil"/>
              <w:bottom w:val="single" w:sz="4" w:space="0" w:color="auto"/>
              <w:right w:val="single" w:sz="4" w:space="0" w:color="auto"/>
            </w:tcBorders>
            <w:shd w:val="clear" w:color="000000" w:fill="C6EFCE"/>
            <w:vAlign w:val="center"/>
            <w:hideMark/>
          </w:tcPr>
          <w:p w:rsidR="00FF0084" w:rsidRPr="00FF0084" w:rsidRDefault="00FF0084" w:rsidP="0026570A">
            <w:pPr>
              <w:spacing w:line="276" w:lineRule="auto"/>
              <w:jc w:val="center"/>
              <w:rPr>
                <w:rFonts w:asciiTheme="minorHAnsi" w:hAnsiTheme="minorHAnsi" w:cstheme="minorHAnsi"/>
                <w:b/>
                <w:bCs/>
                <w:color w:val="283E1A"/>
                <w:sz w:val="24"/>
                <w:szCs w:val="24"/>
              </w:rPr>
            </w:pPr>
            <w:r w:rsidRPr="00FF0084">
              <w:rPr>
                <w:rFonts w:asciiTheme="minorHAnsi" w:hAnsiTheme="minorHAnsi" w:cstheme="minorHAnsi"/>
                <w:b/>
                <w:bCs/>
                <w:color w:val="283E1A"/>
                <w:sz w:val="24"/>
                <w:szCs w:val="24"/>
              </w:rPr>
              <w:t>Priorytet</w:t>
            </w:r>
          </w:p>
        </w:tc>
        <w:tc>
          <w:tcPr>
            <w:tcW w:w="1978" w:type="dxa"/>
            <w:tcBorders>
              <w:top w:val="single" w:sz="4" w:space="0" w:color="auto"/>
              <w:left w:val="nil"/>
              <w:bottom w:val="single" w:sz="4" w:space="0" w:color="auto"/>
              <w:right w:val="single" w:sz="4" w:space="0" w:color="auto"/>
            </w:tcBorders>
            <w:shd w:val="clear" w:color="000000" w:fill="C6EFCE"/>
            <w:vAlign w:val="center"/>
            <w:hideMark/>
          </w:tcPr>
          <w:p w:rsidR="00FF0084" w:rsidRPr="00FF0084" w:rsidRDefault="00FF0084" w:rsidP="0026570A">
            <w:pPr>
              <w:spacing w:line="276" w:lineRule="auto"/>
              <w:jc w:val="center"/>
              <w:rPr>
                <w:rFonts w:asciiTheme="minorHAnsi" w:hAnsiTheme="minorHAnsi" w:cstheme="minorHAnsi"/>
                <w:b/>
                <w:bCs/>
                <w:color w:val="283E1A"/>
                <w:sz w:val="24"/>
                <w:szCs w:val="24"/>
              </w:rPr>
            </w:pPr>
            <w:r w:rsidRPr="00FF0084">
              <w:rPr>
                <w:rFonts w:asciiTheme="minorHAnsi" w:hAnsiTheme="minorHAnsi" w:cstheme="minorHAnsi"/>
                <w:b/>
                <w:bCs/>
                <w:color w:val="283E1A"/>
                <w:sz w:val="24"/>
                <w:szCs w:val="24"/>
              </w:rPr>
              <w:t xml:space="preserve">Zapis w projekcie Regionalnego Programu Strategicznego w zakresie bezpieczeństwa środowiskowego i energetycznego,  </w:t>
            </w:r>
            <w:r w:rsidR="002D117B" w:rsidRPr="002D117B">
              <w:rPr>
                <w:rFonts w:asciiTheme="minorHAnsi" w:hAnsiTheme="minorHAnsi" w:cstheme="minorHAnsi"/>
                <w:b/>
                <w:bCs/>
                <w:color w:val="283E1A"/>
                <w:sz w:val="24"/>
                <w:szCs w:val="24"/>
              </w:rPr>
              <w:t>do którego zgłaszane są uwagi</w:t>
            </w:r>
          </w:p>
        </w:tc>
        <w:tc>
          <w:tcPr>
            <w:tcW w:w="744" w:type="dxa"/>
            <w:tcBorders>
              <w:top w:val="single" w:sz="4" w:space="0" w:color="auto"/>
              <w:left w:val="nil"/>
              <w:bottom w:val="single" w:sz="4" w:space="0" w:color="auto"/>
              <w:right w:val="single" w:sz="4" w:space="0" w:color="auto"/>
            </w:tcBorders>
            <w:shd w:val="clear" w:color="000000" w:fill="C6EFCE"/>
            <w:vAlign w:val="center"/>
            <w:hideMark/>
          </w:tcPr>
          <w:p w:rsidR="00FF0084" w:rsidRPr="00FF0084" w:rsidRDefault="00FF0084" w:rsidP="0026570A">
            <w:pPr>
              <w:spacing w:line="276" w:lineRule="auto"/>
              <w:jc w:val="center"/>
              <w:rPr>
                <w:rFonts w:asciiTheme="minorHAnsi" w:hAnsiTheme="minorHAnsi" w:cstheme="minorHAnsi"/>
                <w:b/>
                <w:bCs/>
                <w:color w:val="283E1A"/>
                <w:sz w:val="24"/>
                <w:szCs w:val="24"/>
              </w:rPr>
            </w:pPr>
            <w:r w:rsidRPr="00FF0084">
              <w:rPr>
                <w:rFonts w:asciiTheme="minorHAnsi" w:hAnsiTheme="minorHAnsi" w:cstheme="minorHAnsi"/>
                <w:b/>
                <w:bCs/>
                <w:color w:val="283E1A"/>
                <w:sz w:val="24"/>
                <w:szCs w:val="24"/>
              </w:rPr>
              <w:t>Strona</w:t>
            </w:r>
          </w:p>
        </w:tc>
        <w:tc>
          <w:tcPr>
            <w:tcW w:w="6278" w:type="dxa"/>
            <w:tcBorders>
              <w:top w:val="single" w:sz="4" w:space="0" w:color="auto"/>
              <w:left w:val="nil"/>
              <w:bottom w:val="single" w:sz="4" w:space="0" w:color="auto"/>
              <w:right w:val="single" w:sz="4" w:space="0" w:color="auto"/>
            </w:tcBorders>
            <w:shd w:val="clear" w:color="000000" w:fill="C6EFCE"/>
            <w:vAlign w:val="center"/>
            <w:hideMark/>
          </w:tcPr>
          <w:p w:rsidR="00FF0084" w:rsidRPr="00FF0084" w:rsidRDefault="00FF0084" w:rsidP="0026570A">
            <w:pPr>
              <w:spacing w:line="276" w:lineRule="auto"/>
              <w:jc w:val="center"/>
              <w:rPr>
                <w:rFonts w:asciiTheme="minorHAnsi" w:hAnsiTheme="minorHAnsi" w:cstheme="minorHAnsi"/>
                <w:b/>
                <w:bCs/>
                <w:color w:val="283E1A"/>
                <w:sz w:val="24"/>
                <w:szCs w:val="24"/>
              </w:rPr>
            </w:pPr>
            <w:r w:rsidRPr="00FF0084">
              <w:rPr>
                <w:rFonts w:asciiTheme="minorHAnsi" w:hAnsiTheme="minorHAnsi" w:cstheme="minorHAnsi"/>
                <w:b/>
                <w:bCs/>
                <w:color w:val="283E1A"/>
                <w:sz w:val="24"/>
                <w:szCs w:val="24"/>
              </w:rPr>
              <w:t>Sugerowana zmiana (konkretna propozycja nowego brzmienia zapisu)</w:t>
            </w:r>
          </w:p>
        </w:tc>
        <w:tc>
          <w:tcPr>
            <w:tcW w:w="2977" w:type="dxa"/>
            <w:tcBorders>
              <w:top w:val="single" w:sz="4" w:space="0" w:color="auto"/>
              <w:left w:val="nil"/>
              <w:bottom w:val="single" w:sz="4" w:space="0" w:color="auto"/>
              <w:right w:val="single" w:sz="4" w:space="0" w:color="auto"/>
            </w:tcBorders>
            <w:shd w:val="clear" w:color="000000" w:fill="C6EFCE"/>
            <w:vAlign w:val="center"/>
            <w:hideMark/>
          </w:tcPr>
          <w:p w:rsidR="00FF0084" w:rsidRPr="00FF0084" w:rsidRDefault="00FF0084" w:rsidP="0026570A">
            <w:pPr>
              <w:spacing w:line="276" w:lineRule="auto"/>
              <w:jc w:val="center"/>
              <w:rPr>
                <w:rFonts w:asciiTheme="minorHAnsi" w:hAnsiTheme="minorHAnsi" w:cstheme="minorHAnsi"/>
                <w:b/>
                <w:bCs/>
                <w:color w:val="283E1A"/>
                <w:sz w:val="24"/>
                <w:szCs w:val="24"/>
              </w:rPr>
            </w:pPr>
            <w:r w:rsidRPr="00FF0084">
              <w:rPr>
                <w:rFonts w:asciiTheme="minorHAnsi" w:hAnsiTheme="minorHAnsi" w:cstheme="minorHAnsi"/>
                <w:b/>
                <w:bCs/>
                <w:color w:val="283E1A"/>
                <w:sz w:val="24"/>
                <w:szCs w:val="24"/>
              </w:rPr>
              <w:t>Uzasadnienie</w:t>
            </w:r>
          </w:p>
        </w:tc>
        <w:tc>
          <w:tcPr>
            <w:tcW w:w="5954" w:type="dxa"/>
            <w:tcBorders>
              <w:top w:val="single" w:sz="4" w:space="0" w:color="auto"/>
              <w:left w:val="nil"/>
              <w:bottom w:val="single" w:sz="4" w:space="0" w:color="auto"/>
              <w:right w:val="single" w:sz="4" w:space="0" w:color="auto"/>
            </w:tcBorders>
            <w:shd w:val="clear" w:color="000000" w:fill="C6EFCE"/>
            <w:vAlign w:val="center"/>
            <w:hideMark/>
          </w:tcPr>
          <w:p w:rsidR="00FF0084" w:rsidRPr="00FF0084" w:rsidRDefault="00FF0084" w:rsidP="0026570A">
            <w:pPr>
              <w:spacing w:line="276" w:lineRule="auto"/>
              <w:jc w:val="center"/>
              <w:rPr>
                <w:rFonts w:asciiTheme="minorHAnsi" w:hAnsiTheme="minorHAnsi" w:cstheme="minorHAnsi"/>
                <w:b/>
                <w:bCs/>
                <w:color w:val="283E1A"/>
                <w:sz w:val="24"/>
                <w:szCs w:val="24"/>
              </w:rPr>
            </w:pPr>
            <w:r w:rsidRPr="00FF0084">
              <w:rPr>
                <w:rFonts w:asciiTheme="minorHAnsi" w:hAnsiTheme="minorHAnsi" w:cstheme="minorHAnsi"/>
                <w:b/>
                <w:bCs/>
                <w:color w:val="283E1A"/>
                <w:sz w:val="24"/>
                <w:szCs w:val="24"/>
              </w:rPr>
              <w:t>Odpowiedź na uwagę</w:t>
            </w:r>
          </w:p>
        </w:tc>
      </w:tr>
      <w:tr w:rsidR="002D117B" w:rsidRPr="002D117B" w:rsidTr="002D117B">
        <w:trPr>
          <w:trHeight w:val="180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1.</w:t>
            </w:r>
          </w:p>
        </w:tc>
        <w:tc>
          <w:tcPr>
            <w:tcW w:w="1144" w:type="dxa"/>
            <w:vMerge w:val="restart"/>
            <w:tcBorders>
              <w:top w:val="nil"/>
              <w:left w:val="single" w:sz="4" w:space="0" w:color="auto"/>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22.06.2021</w:t>
            </w:r>
          </w:p>
        </w:tc>
        <w:tc>
          <w:tcPr>
            <w:tcW w:w="1504" w:type="dxa"/>
            <w:vMerge w:val="restart"/>
            <w:tcBorders>
              <w:top w:val="nil"/>
              <w:left w:val="single" w:sz="4" w:space="0" w:color="auto"/>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Burmistrz Miasta Malborka</w:t>
            </w:r>
          </w:p>
        </w:tc>
        <w:tc>
          <w:tcPr>
            <w:tcW w:w="974" w:type="dxa"/>
            <w:vMerge w:val="restart"/>
            <w:tcBorders>
              <w:top w:val="nil"/>
              <w:left w:val="single" w:sz="4" w:space="0" w:color="auto"/>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inne</w:t>
            </w:r>
          </w:p>
        </w:tc>
        <w:tc>
          <w:tcPr>
            <w:tcW w:w="1978" w:type="dxa"/>
            <w:vMerge w:val="restart"/>
            <w:tcBorders>
              <w:top w:val="nil"/>
              <w:left w:val="single" w:sz="4" w:space="0" w:color="auto"/>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Część diagnostyczna</w:t>
            </w:r>
          </w:p>
        </w:tc>
        <w:tc>
          <w:tcPr>
            <w:tcW w:w="744" w:type="dxa"/>
            <w:vMerge w:val="restart"/>
            <w:tcBorders>
              <w:top w:val="nil"/>
              <w:left w:val="single" w:sz="4" w:space="0" w:color="auto"/>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color w:val="000000"/>
                <w:sz w:val="24"/>
                <w:szCs w:val="24"/>
              </w:rPr>
            </w:pPr>
            <w:r w:rsidRPr="00FF0084">
              <w:rPr>
                <w:rFonts w:asciiTheme="minorHAnsi" w:hAnsiTheme="minorHAnsi" w:cstheme="minorHAnsi"/>
                <w:color w:val="000000"/>
                <w:sz w:val="24"/>
                <w:szCs w:val="24"/>
              </w:rPr>
              <w:t> </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xml:space="preserve">Projekt RPS nie określa obszarów zagrożonych podtopieniami (brak jest opisu czy postaci graficznych w postaci e-map PSH). Nie przedstawia diagnozy zagrożeń. </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Uwaga nieuwzględniona.</w:t>
            </w:r>
            <w:r w:rsidRPr="00FF0084">
              <w:rPr>
                <w:rFonts w:asciiTheme="minorHAnsi" w:hAnsiTheme="minorHAnsi" w:cstheme="minorHAnsi"/>
                <w:color w:val="283E1A"/>
                <w:sz w:val="24"/>
                <w:szCs w:val="24"/>
              </w:rPr>
              <w:br/>
              <w:t>Szczegółowa analiza zagrożeń powodziowych znajduje się w dokumencie strategicznym dotyczącym powodzi, czyli aktualizacji Planu Zarządzania Ryzykiem Powodziowym. Zapisy RPS odnoszą się do tego dokum</w:t>
            </w:r>
            <w:r w:rsidR="002D117B">
              <w:rPr>
                <w:rFonts w:asciiTheme="minorHAnsi" w:hAnsiTheme="minorHAnsi" w:cstheme="minorHAnsi"/>
                <w:color w:val="283E1A"/>
                <w:sz w:val="24"/>
                <w:szCs w:val="24"/>
              </w:rPr>
              <w:t>e</w:t>
            </w:r>
            <w:r w:rsidRPr="00FF0084">
              <w:rPr>
                <w:rFonts w:asciiTheme="minorHAnsi" w:hAnsiTheme="minorHAnsi" w:cstheme="minorHAnsi"/>
                <w:color w:val="283E1A"/>
                <w:sz w:val="24"/>
                <w:szCs w:val="24"/>
              </w:rPr>
              <w:t>ntu, jednak nie ma konieczności ich uszczegóławiania.</w:t>
            </w:r>
          </w:p>
        </w:tc>
      </w:tr>
      <w:tr w:rsidR="002D117B" w:rsidRPr="00FF0084" w:rsidTr="002D117B">
        <w:trPr>
          <w:trHeight w:val="180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2.</w:t>
            </w:r>
          </w:p>
        </w:tc>
        <w:tc>
          <w:tcPr>
            <w:tcW w:w="114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150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97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1978" w:type="dxa"/>
            <w:vMerge/>
            <w:tcBorders>
              <w:top w:val="nil"/>
              <w:left w:val="single" w:sz="4" w:space="0" w:color="auto"/>
              <w:bottom w:val="single" w:sz="4" w:space="0" w:color="auto"/>
              <w:right w:val="single" w:sz="4" w:space="0" w:color="auto"/>
            </w:tcBorders>
            <w:shd w:val="clear" w:color="auto" w:fill="auto"/>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74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W dokumencie podnoszony jest problem, bardzo ogólnie sformułowany, o „presji zabudowy na obszary szczególnego zagrożenia powodziowego” czy „dużej presji inwestycyjnej na obszary o szczególnym znaczeniu dla zachowania zasobów przyrodniczych i ciągłości korytarzy ekologicznych”. Brak jest przy tym jakiejkolwiek diagnozy co do skali problemu, wskazania kluczowych terenów narażonych na tego rodzaju oddziaływanie.</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Uwaga nieuwzględniona.</w:t>
            </w:r>
            <w:r w:rsidRPr="00FF0084">
              <w:rPr>
                <w:rFonts w:asciiTheme="minorHAnsi" w:hAnsiTheme="minorHAnsi" w:cstheme="minorHAnsi"/>
                <w:color w:val="283E1A"/>
                <w:sz w:val="24"/>
                <w:szCs w:val="24"/>
              </w:rPr>
              <w:br/>
              <w:t xml:space="preserve">Presja inwestycyjna jest problemem ogólnokrajowym - nie ma potrzeby wskazywania konkretnych miejsc - zagrożenie istnieje nawet w miejscach, w których miejscowy plan nie pozwala na zabudowę (przykładowo problem domków letniskowych nie związanych trwale z gruntem). </w:t>
            </w:r>
          </w:p>
        </w:tc>
      </w:tr>
      <w:tr w:rsidR="002D117B" w:rsidRPr="00FF0084" w:rsidTr="002D117B">
        <w:trPr>
          <w:trHeight w:val="186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3.</w:t>
            </w:r>
          </w:p>
        </w:tc>
        <w:tc>
          <w:tcPr>
            <w:tcW w:w="114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150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97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1978" w:type="dxa"/>
            <w:vMerge/>
            <w:tcBorders>
              <w:top w:val="nil"/>
              <w:left w:val="single" w:sz="4" w:space="0" w:color="auto"/>
              <w:bottom w:val="single" w:sz="4" w:space="0" w:color="auto"/>
              <w:right w:val="single" w:sz="4" w:space="0" w:color="auto"/>
            </w:tcBorders>
            <w:shd w:val="clear" w:color="auto" w:fill="auto"/>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74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xml:space="preserve">W dokumencie operuje się bardzo ogólnymi sformułowaniami, np. „niewystarczająco rozwinięta infrastruktura pozwalająca na ochronę przed suszą” czy „niewystarczający zakres prac konserwacyjnych na rzekach i urządzeniach melioracyjnych” bez konkretyzacji braków, koniecznych działań, stopnia zagrożeń wynikających z braku ich realizacji. </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Uwaga nieuwzględniona.</w:t>
            </w:r>
            <w:r w:rsidRPr="00FF0084">
              <w:rPr>
                <w:rFonts w:asciiTheme="minorHAnsi" w:hAnsiTheme="minorHAnsi" w:cstheme="minorHAnsi"/>
                <w:color w:val="283E1A"/>
                <w:sz w:val="24"/>
                <w:szCs w:val="24"/>
              </w:rPr>
              <w:br/>
              <w:t>Szczegółowa analiza zagrożeń występowania zjawiska suszy znajduje się w dokumencie strategicznym dotyczącym suszy, czyli Planie Przeciwdziałania Skutkom Suszy. Zapisy RPS odnoszą się do tego dokum</w:t>
            </w:r>
            <w:r w:rsidR="002D117B">
              <w:rPr>
                <w:rFonts w:asciiTheme="minorHAnsi" w:hAnsiTheme="minorHAnsi" w:cstheme="minorHAnsi"/>
                <w:color w:val="283E1A"/>
                <w:sz w:val="24"/>
                <w:szCs w:val="24"/>
              </w:rPr>
              <w:t>e</w:t>
            </w:r>
            <w:r w:rsidRPr="00FF0084">
              <w:rPr>
                <w:rFonts w:asciiTheme="minorHAnsi" w:hAnsiTheme="minorHAnsi" w:cstheme="minorHAnsi"/>
                <w:color w:val="283E1A"/>
                <w:sz w:val="24"/>
                <w:szCs w:val="24"/>
              </w:rPr>
              <w:t>ntu, jednak nie ma konieczności ich uszczegóławiania.</w:t>
            </w:r>
          </w:p>
        </w:tc>
      </w:tr>
      <w:tr w:rsidR="002D117B" w:rsidRPr="00FF0084" w:rsidTr="002D117B">
        <w:trPr>
          <w:trHeight w:val="180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lastRenderedPageBreak/>
              <w:t>4.</w:t>
            </w:r>
          </w:p>
        </w:tc>
        <w:tc>
          <w:tcPr>
            <w:tcW w:w="114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150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97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1978" w:type="dxa"/>
            <w:vMerge/>
            <w:tcBorders>
              <w:top w:val="nil"/>
              <w:left w:val="single" w:sz="4" w:space="0" w:color="auto"/>
              <w:bottom w:val="single" w:sz="4" w:space="0" w:color="auto"/>
              <w:right w:val="single" w:sz="4" w:space="0" w:color="auto"/>
            </w:tcBorders>
            <w:shd w:val="clear" w:color="auto" w:fill="auto"/>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74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xml:space="preserve">·  Woda pitna i ścieki - Brak jest wskazania skali problemu dotyczącego aglomeracji niespełniających wymagań tzw. dyrektywy ściekowej. W dokumencie nie wymieniono problematycznych aglomeracji ani nie określono liczby/ procentu aglomeracji, których ten problem dotyczy. Za źródło mógłby posłużyć, w tym przypadku, np. „PORADNIK DLA SAMORZĄDÓW WYZNACZAJĄCYCH AGLOMERACJE opracowany na podstawie pytań zadanych na spotkaniach w dniach 23.07.2020 oraz 10.08.2020” opracowany przez </w:t>
            </w:r>
            <w:proofErr w:type="spellStart"/>
            <w:r w:rsidRPr="00FF0084">
              <w:rPr>
                <w:rFonts w:asciiTheme="minorHAnsi" w:hAnsiTheme="minorHAnsi" w:cstheme="minorHAnsi"/>
                <w:color w:val="000000"/>
                <w:sz w:val="24"/>
                <w:szCs w:val="24"/>
              </w:rPr>
              <w:t>MGMiŻŚ</w:t>
            </w:r>
            <w:proofErr w:type="spellEnd"/>
            <w:r w:rsidRPr="00FF0084">
              <w:rPr>
                <w:rFonts w:asciiTheme="minorHAnsi" w:hAnsiTheme="minorHAnsi" w:cstheme="minorHAnsi"/>
                <w:color w:val="000000"/>
                <w:sz w:val="24"/>
                <w:szCs w:val="24"/>
              </w:rPr>
              <w:t xml:space="preserve"> i PGW Wody Polskie, Załącznik nr 1 – Wykaz aglomeracji ujętych w uzasadnionej opinii Komisji Europejskiej.</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Uwaga nieuwzględniona</w:t>
            </w:r>
            <w:r w:rsidRPr="00FF0084">
              <w:rPr>
                <w:rFonts w:asciiTheme="minorHAnsi" w:hAnsiTheme="minorHAnsi" w:cstheme="minorHAnsi"/>
                <w:color w:val="283E1A"/>
                <w:sz w:val="24"/>
                <w:szCs w:val="24"/>
              </w:rPr>
              <w:br/>
              <w:t>Istnieją dokumenty strategiczne na poziomie krajowym (Krajowy Program Oczyszczania Ścieków Komunalnych), wskazujące aglomeracje niespełniające wymagań tzw. Dyrektywy ściekowej, które są cyklicznie aktualizowane. Obecnie trwają prace nad Aktualizacją KPOŚK - prezentującą aktualne potrzeby inwestycyjne aglomeracji.</w:t>
            </w:r>
          </w:p>
        </w:tc>
      </w:tr>
      <w:tr w:rsidR="002D117B" w:rsidRPr="00FF0084" w:rsidTr="002D117B">
        <w:trPr>
          <w:trHeight w:val="210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5.</w:t>
            </w:r>
          </w:p>
        </w:tc>
        <w:tc>
          <w:tcPr>
            <w:tcW w:w="114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150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97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1978" w:type="dxa"/>
            <w:vMerge/>
            <w:tcBorders>
              <w:top w:val="nil"/>
              <w:left w:val="single" w:sz="4" w:space="0" w:color="auto"/>
              <w:bottom w:val="single" w:sz="4" w:space="0" w:color="auto"/>
              <w:right w:val="single" w:sz="4" w:space="0" w:color="auto"/>
            </w:tcBorders>
            <w:shd w:val="clear" w:color="auto" w:fill="auto"/>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74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xml:space="preserve">• Poprawa jakości powietrza - W dokumencie przywołana została ocena jakości powietrza w województwie pomorskim jedynie za rok 2019. Opublikowana została już ocena za rok 2020. </w:t>
            </w:r>
            <w:r w:rsidRPr="00FF0084">
              <w:rPr>
                <w:rFonts w:asciiTheme="minorHAnsi" w:hAnsiTheme="minorHAnsi" w:cstheme="minorHAnsi"/>
                <w:color w:val="000000"/>
                <w:sz w:val="24"/>
                <w:szCs w:val="24"/>
              </w:rPr>
              <w:br/>
              <w:t xml:space="preserve">Podana dla strefy pomorskiej wartość bazowa dla 2020 roku (klasa C) nie jest prawidłowa (patrz: wskaźniki rezultatu, s. 52). Ocena jakości powietrza za 2020 rok wskazuje                                       na utrzymanie z roku 2019 dobrej jakości powietrza, również w zakresie pyłów zawieszonych w obu strefach województwa pomorskiego (klasa A). W przypadku </w:t>
            </w:r>
            <w:proofErr w:type="spellStart"/>
            <w:r w:rsidRPr="00FF0084">
              <w:rPr>
                <w:rFonts w:asciiTheme="minorHAnsi" w:hAnsiTheme="minorHAnsi" w:cstheme="minorHAnsi"/>
                <w:color w:val="000000"/>
                <w:sz w:val="24"/>
                <w:szCs w:val="24"/>
              </w:rPr>
              <w:t>benzo</w:t>
            </w:r>
            <w:proofErr w:type="spellEnd"/>
            <w:r w:rsidRPr="00FF0084">
              <w:rPr>
                <w:rFonts w:asciiTheme="minorHAnsi" w:hAnsiTheme="minorHAnsi" w:cstheme="minorHAnsi"/>
                <w:color w:val="000000"/>
                <w:sz w:val="24"/>
                <w:szCs w:val="24"/>
              </w:rPr>
              <w:t>(a)</w:t>
            </w:r>
            <w:proofErr w:type="spellStart"/>
            <w:r w:rsidRPr="00FF0084">
              <w:rPr>
                <w:rFonts w:asciiTheme="minorHAnsi" w:hAnsiTheme="minorHAnsi" w:cstheme="minorHAnsi"/>
                <w:color w:val="000000"/>
                <w:sz w:val="24"/>
                <w:szCs w:val="24"/>
              </w:rPr>
              <w:t>pirenu</w:t>
            </w:r>
            <w:proofErr w:type="spellEnd"/>
            <w:r w:rsidRPr="00FF0084">
              <w:rPr>
                <w:rFonts w:asciiTheme="minorHAnsi" w:hAnsiTheme="minorHAnsi" w:cstheme="minorHAnsi"/>
                <w:color w:val="000000"/>
                <w:sz w:val="24"/>
                <w:szCs w:val="24"/>
              </w:rPr>
              <w:t xml:space="preserve"> nastąpiła również poprawa, nie pozwalająca jednak na dotrzymanie standardów jakości powietrza. </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Uwaga uwzględniona.</w:t>
            </w:r>
            <w:r w:rsidRPr="00FF0084">
              <w:rPr>
                <w:rFonts w:asciiTheme="minorHAnsi" w:hAnsiTheme="minorHAnsi" w:cstheme="minorHAnsi"/>
                <w:color w:val="283E1A"/>
                <w:sz w:val="24"/>
                <w:szCs w:val="24"/>
              </w:rPr>
              <w:br/>
              <w:t>Zmieniono i przedstawiono wyniki rocznej oceny jakości powietrza za rok 2020.</w:t>
            </w:r>
          </w:p>
        </w:tc>
      </w:tr>
      <w:tr w:rsidR="002D117B" w:rsidRPr="00FF0084" w:rsidTr="002D117B">
        <w:trPr>
          <w:trHeight w:val="6795"/>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lastRenderedPageBreak/>
              <w:t>6.</w:t>
            </w:r>
          </w:p>
        </w:tc>
        <w:tc>
          <w:tcPr>
            <w:tcW w:w="114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150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97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1978" w:type="dxa"/>
            <w:vMerge/>
            <w:tcBorders>
              <w:top w:val="nil"/>
              <w:left w:val="single" w:sz="4" w:space="0" w:color="auto"/>
              <w:bottom w:val="single" w:sz="4" w:space="0" w:color="auto"/>
              <w:right w:val="single" w:sz="4" w:space="0" w:color="auto"/>
            </w:tcBorders>
            <w:shd w:val="clear" w:color="auto" w:fill="auto"/>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74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6278" w:type="dxa"/>
            <w:tcBorders>
              <w:top w:val="nil"/>
              <w:left w:val="nil"/>
              <w:bottom w:val="single" w:sz="4" w:space="0" w:color="auto"/>
              <w:right w:val="single" w:sz="4" w:space="0" w:color="auto"/>
            </w:tcBorders>
            <w:shd w:val="clear" w:color="auto" w:fill="auto"/>
            <w:vAlign w:val="center"/>
            <w:hideMark/>
          </w:tcPr>
          <w:p w:rsidR="00FF0084" w:rsidRPr="00FF0084" w:rsidRDefault="00FF0084" w:rsidP="002D117B">
            <w:pPr>
              <w:spacing w:line="276" w:lineRule="auto"/>
              <w:jc w:val="both"/>
              <w:rPr>
                <w:rFonts w:asciiTheme="minorHAnsi" w:hAnsiTheme="minorHAnsi" w:cstheme="minorHAnsi"/>
                <w:color w:val="000000"/>
                <w:sz w:val="24"/>
                <w:szCs w:val="24"/>
              </w:rPr>
            </w:pPr>
            <w:r w:rsidRPr="00FF0084">
              <w:rPr>
                <w:rFonts w:asciiTheme="minorHAnsi" w:hAnsiTheme="minorHAnsi" w:cstheme="minorHAnsi"/>
                <w:color w:val="000000"/>
                <w:sz w:val="24"/>
                <w:szCs w:val="24"/>
              </w:rPr>
              <w:t xml:space="preserve">·  Gospodarka o obiegu zamkniętym - W kontekście zapisów ujętych w Analizie SWOT (tabela), cyt.: „Wysoki udział niesegregowanej zmieszanej frakcji odpadów w strumieniu odpadów komunalnych” czy „Niski stopień odzysku i recyklingu odpadów komunalnych”, w części diagnostycznej należałoby odnieść się                                do wymaganych poziomów odzysku odpadów i oszacować skalę problemu. </w:t>
            </w:r>
            <w:r w:rsidRPr="00FF0084">
              <w:rPr>
                <w:rFonts w:asciiTheme="minorHAnsi" w:hAnsiTheme="minorHAnsi" w:cstheme="minorHAnsi"/>
                <w:color w:val="000000"/>
                <w:sz w:val="24"/>
                <w:szCs w:val="24"/>
              </w:rPr>
              <w:br/>
              <w:t xml:space="preserve">Wg opracowania GIOŚ: „STAN ŚRODOWISKA W WOJEWÓDZTWIE POMORSKIM. RAPORT 2020” (dalej: Raport), cyt.: „Podczas weryfikacji sprawozdań za lata 2016-2018 stwierdzono, że nie wszystkie gminy w analizowanych latach osiągnęły wymagane poziomy, a mianowicie: • wymagany poziom recyklingu i przygotowania do ponownego użycia papieru, metali, tworzyw sztucznych i szkła, tj.: - w 2016 r. - 0 gmin, - w 2017 r. - 1 gmina, - w 2018 r. -   24 gminy; </w:t>
            </w:r>
            <w:r w:rsidRPr="00FF0084">
              <w:rPr>
                <w:rFonts w:asciiTheme="minorHAnsi" w:hAnsiTheme="minorHAnsi" w:cstheme="minorHAnsi"/>
                <w:color w:val="000000"/>
                <w:sz w:val="24"/>
                <w:szCs w:val="24"/>
              </w:rPr>
              <w:br/>
              <w:t xml:space="preserve">• wymagany poziom przygotowania do ponownego użycia i odzysku innymi metodami, innych niż niebezpieczne odpadów budowlanych i rozbiórkowych, tj.: - w 2016 r. - 3 gminy,  - w 2017 r. - 6 gmin, - w 2018 r. - 17 gmin; </w:t>
            </w:r>
            <w:r w:rsidRPr="00FF0084">
              <w:rPr>
                <w:rFonts w:asciiTheme="minorHAnsi" w:hAnsiTheme="minorHAnsi" w:cstheme="minorHAnsi"/>
                <w:color w:val="000000"/>
                <w:sz w:val="24"/>
                <w:szCs w:val="24"/>
              </w:rPr>
              <w:br/>
              <w:t>• poziom ograniczenia masy odpadów komunalnych ulegających biodegradacji, kierowanych do składowania, tj.: - w 2016 r. - 0 gmin, - w 2017 r. - 0 gmin, - w 2018 r. - 4 gminy.”</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Uwaga uwzględniona.</w:t>
            </w:r>
            <w:r w:rsidRPr="00FF0084">
              <w:rPr>
                <w:rFonts w:asciiTheme="minorHAnsi" w:hAnsiTheme="minorHAnsi" w:cstheme="minorHAnsi"/>
                <w:color w:val="283E1A"/>
                <w:sz w:val="24"/>
                <w:szCs w:val="24"/>
              </w:rPr>
              <w:br/>
              <w:t>Część diagnostyczna dotycząca GOZ zawierała informacje na temat wymaganych poziomów recyklingu i przygotowania do ponownego użycia odpadów komunalnych i ograniczenia masy odpadów komunalnych ulegających biodegradacji przekazywanych do składowania oraz informacje o zagrożeniu nieosiągnięciem wymaganych prawem UE poziomów. Niemniej, po zakońc</w:t>
            </w:r>
            <w:r w:rsidR="002D117B">
              <w:rPr>
                <w:rFonts w:asciiTheme="minorHAnsi" w:hAnsiTheme="minorHAnsi" w:cstheme="minorHAnsi"/>
                <w:color w:val="283E1A"/>
                <w:sz w:val="24"/>
                <w:szCs w:val="24"/>
              </w:rPr>
              <w:t>zeniu przez marszałka województwa</w:t>
            </w:r>
            <w:r w:rsidRPr="00FF0084">
              <w:rPr>
                <w:rFonts w:asciiTheme="minorHAnsi" w:hAnsiTheme="minorHAnsi" w:cstheme="minorHAnsi"/>
                <w:color w:val="283E1A"/>
                <w:sz w:val="24"/>
                <w:szCs w:val="24"/>
              </w:rPr>
              <w:t xml:space="preserve"> weryfikacji gminnych sprawozdań komunalnych za 2019 r., część diagnostyczna została dodatkowo uzupełniona o dane dot. liczby gmin, które nie osiągnęły wymaganego poziomu za 2019 r.</w:t>
            </w:r>
            <w:r w:rsidRPr="00FF0084">
              <w:rPr>
                <w:rFonts w:asciiTheme="minorHAnsi" w:hAnsiTheme="minorHAnsi" w:cstheme="minorHAnsi"/>
                <w:color w:val="283E1A"/>
                <w:sz w:val="24"/>
                <w:szCs w:val="24"/>
              </w:rPr>
              <w:br/>
              <w:t>Jednocześnie, należy wskazać, że w diagnozie dot. GOZ został zasygnalizowany  problem w zakresie zagrożenia nieosiągnięciem wymaganych poziomów. Nie jest możliwe oszacowanie skali problemu w zakresie nieosiągania wymaganych poziomów recyklingu w najbliższych latach z uwagi na zmianę sposobu obliczenia wymaganego poziomu recyklingu i przygotowania do ponownego użycia w odniesieniu do całej frakcji odpadów komunalnych, a nie tylko 4 frakcji odpadów opakowaniowych, który ma już obowiązywać do 2021 r., ponieważ trudno wnioskować jak</w:t>
            </w:r>
            <w:r w:rsidR="002D117B">
              <w:rPr>
                <w:rFonts w:asciiTheme="minorHAnsi" w:hAnsiTheme="minorHAnsi" w:cstheme="minorHAnsi"/>
                <w:color w:val="283E1A"/>
                <w:sz w:val="24"/>
                <w:szCs w:val="24"/>
              </w:rPr>
              <w:t>ie wartości poziomów osiągały bę</w:t>
            </w:r>
            <w:r w:rsidRPr="00FF0084">
              <w:rPr>
                <w:rFonts w:asciiTheme="minorHAnsi" w:hAnsiTheme="minorHAnsi" w:cstheme="minorHAnsi"/>
                <w:color w:val="283E1A"/>
                <w:sz w:val="24"/>
                <w:szCs w:val="24"/>
              </w:rPr>
              <w:t>dą gminy z zastosowaniem nowego sposobu obliczania poziomów.</w:t>
            </w:r>
          </w:p>
        </w:tc>
      </w:tr>
      <w:tr w:rsidR="002D117B" w:rsidRPr="002D117B" w:rsidTr="002D117B">
        <w:trPr>
          <w:trHeight w:val="2745"/>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7.</w:t>
            </w:r>
          </w:p>
        </w:tc>
        <w:tc>
          <w:tcPr>
            <w:tcW w:w="114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150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97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1978" w:type="dxa"/>
            <w:vMerge/>
            <w:tcBorders>
              <w:top w:val="nil"/>
              <w:left w:val="single" w:sz="4" w:space="0" w:color="auto"/>
              <w:bottom w:val="single" w:sz="4" w:space="0" w:color="auto"/>
              <w:right w:val="single" w:sz="4" w:space="0" w:color="auto"/>
            </w:tcBorders>
            <w:shd w:val="clear" w:color="auto" w:fill="auto"/>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744" w:type="dxa"/>
            <w:vMerge/>
            <w:tcBorders>
              <w:top w:val="nil"/>
              <w:left w:val="single" w:sz="4" w:space="0" w:color="auto"/>
              <w:bottom w:val="single" w:sz="4" w:space="0" w:color="auto"/>
              <w:right w:val="single" w:sz="4" w:space="0" w:color="auto"/>
            </w:tcBorders>
            <w:vAlign w:val="center"/>
            <w:hideMark/>
          </w:tcPr>
          <w:p w:rsidR="00FF0084" w:rsidRPr="00FF0084" w:rsidRDefault="00FF0084" w:rsidP="002D117B">
            <w:pPr>
              <w:spacing w:line="276" w:lineRule="auto"/>
              <w:rPr>
                <w:rFonts w:asciiTheme="minorHAnsi" w:hAnsiTheme="minorHAnsi" w:cstheme="minorHAnsi"/>
                <w:color w:val="000000"/>
                <w:sz w:val="24"/>
                <w:szCs w:val="24"/>
              </w:rPr>
            </w:pPr>
          </w:p>
        </w:tc>
        <w:tc>
          <w:tcPr>
            <w:tcW w:w="6278" w:type="dxa"/>
            <w:tcBorders>
              <w:top w:val="nil"/>
              <w:left w:val="nil"/>
              <w:bottom w:val="single" w:sz="4" w:space="0" w:color="auto"/>
              <w:right w:val="single" w:sz="4" w:space="0" w:color="auto"/>
            </w:tcBorders>
            <w:shd w:val="clear" w:color="auto" w:fill="auto"/>
            <w:vAlign w:val="center"/>
            <w:hideMark/>
          </w:tcPr>
          <w:p w:rsidR="00FF0084" w:rsidRPr="00FF0084" w:rsidRDefault="00FF0084" w:rsidP="002D117B">
            <w:pPr>
              <w:spacing w:line="276" w:lineRule="auto"/>
              <w:jc w:val="both"/>
              <w:rPr>
                <w:rFonts w:asciiTheme="minorHAnsi" w:hAnsiTheme="minorHAnsi" w:cstheme="minorHAnsi"/>
                <w:color w:val="000000"/>
                <w:sz w:val="24"/>
                <w:szCs w:val="24"/>
              </w:rPr>
            </w:pPr>
            <w:r w:rsidRPr="00FF0084">
              <w:rPr>
                <w:rFonts w:asciiTheme="minorHAnsi" w:hAnsiTheme="minorHAnsi" w:cstheme="minorHAnsi"/>
                <w:color w:val="000000"/>
                <w:sz w:val="24"/>
                <w:szCs w:val="24"/>
              </w:rPr>
              <w:t>·         Różnorodność biologiczna i krajobraz/ Analiza SWOT (tabela) - Brak jest oceny skali problemu dla twierdzenia, cyt.: „Postępująca eutrofizacja wód powierzchniowych, w tym jezior”.</w:t>
            </w:r>
            <w:r w:rsidRPr="00FF0084">
              <w:rPr>
                <w:rFonts w:asciiTheme="minorHAnsi" w:hAnsiTheme="minorHAnsi" w:cstheme="minorHAnsi"/>
                <w:color w:val="000000"/>
                <w:sz w:val="24"/>
                <w:szCs w:val="24"/>
              </w:rPr>
              <w:br/>
              <w:t xml:space="preserve">Wg Raportu, cyt.: „Spośród wód powierzchniowych badanych przez WIOŚ na terenie województwa pomorskiego w roku 2018 aż wśród 23% (rzeczne - 11 </w:t>
            </w:r>
            <w:proofErr w:type="spellStart"/>
            <w:r w:rsidRPr="00FF0084">
              <w:rPr>
                <w:rFonts w:asciiTheme="minorHAnsi" w:hAnsiTheme="minorHAnsi" w:cstheme="minorHAnsi"/>
                <w:color w:val="000000"/>
                <w:sz w:val="24"/>
                <w:szCs w:val="24"/>
              </w:rPr>
              <w:t>jcwp</w:t>
            </w:r>
            <w:proofErr w:type="spellEnd"/>
            <w:r w:rsidRPr="00FF0084">
              <w:rPr>
                <w:rFonts w:asciiTheme="minorHAnsi" w:hAnsiTheme="minorHAnsi" w:cstheme="minorHAnsi"/>
                <w:color w:val="000000"/>
                <w:sz w:val="24"/>
                <w:szCs w:val="24"/>
              </w:rPr>
              <w:t xml:space="preserve">, jeziorne - 12 </w:t>
            </w:r>
            <w:proofErr w:type="spellStart"/>
            <w:r w:rsidRPr="00FF0084">
              <w:rPr>
                <w:rFonts w:asciiTheme="minorHAnsi" w:hAnsiTheme="minorHAnsi" w:cstheme="minorHAnsi"/>
                <w:color w:val="000000"/>
                <w:sz w:val="24"/>
                <w:szCs w:val="24"/>
              </w:rPr>
              <w:t>jcwp</w:t>
            </w:r>
            <w:proofErr w:type="spellEnd"/>
            <w:r w:rsidRPr="00FF0084">
              <w:rPr>
                <w:rFonts w:asciiTheme="minorHAnsi" w:hAnsiTheme="minorHAnsi" w:cstheme="minorHAnsi"/>
                <w:color w:val="000000"/>
                <w:sz w:val="24"/>
                <w:szCs w:val="24"/>
              </w:rPr>
              <w:t xml:space="preserve"> oraz wszystkie wody przejściowe oraz przybrzeżne) nastąpiło przekroczenie wartości dopuszczalnej, właśnie we wskaźnikach biogennych.”</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w:t>
            </w:r>
          </w:p>
        </w:tc>
        <w:tc>
          <w:tcPr>
            <w:tcW w:w="5954" w:type="dxa"/>
            <w:tcBorders>
              <w:top w:val="nil"/>
              <w:left w:val="nil"/>
              <w:bottom w:val="single" w:sz="4" w:space="0" w:color="auto"/>
              <w:right w:val="single" w:sz="4" w:space="0" w:color="auto"/>
            </w:tcBorders>
            <w:shd w:val="clear" w:color="000000" w:fill="FFFFFF"/>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Uwaga nieuwzględniona.</w:t>
            </w:r>
            <w:r w:rsidRPr="00FF0084">
              <w:rPr>
                <w:rFonts w:asciiTheme="minorHAnsi" w:hAnsiTheme="minorHAnsi" w:cstheme="minorHAnsi"/>
                <w:color w:val="000000"/>
                <w:sz w:val="24"/>
                <w:szCs w:val="24"/>
              </w:rPr>
              <w:br/>
              <w:t xml:space="preserve">W obowiązującym Planie gospodarowania wodami na obszarze dorzecza Wisły, który jest dokumentem strategicznym na szczeblu krajowym, znajdują się informacje na temat oceny stanu jednolitych części wód powierzchniowych i wód podziemnych. Projekt aktualizacji Planu gospodarowania wodami jest obecnie konsultowany i w nim również znajdzie się informacje na </w:t>
            </w:r>
            <w:proofErr w:type="spellStart"/>
            <w:r w:rsidRPr="00FF0084">
              <w:rPr>
                <w:rFonts w:asciiTheme="minorHAnsi" w:hAnsiTheme="minorHAnsi" w:cstheme="minorHAnsi"/>
                <w:color w:val="000000"/>
                <w:sz w:val="24"/>
                <w:szCs w:val="24"/>
              </w:rPr>
              <w:t>tema</w:t>
            </w:r>
            <w:proofErr w:type="spellEnd"/>
            <w:r w:rsidRPr="00FF0084">
              <w:rPr>
                <w:rFonts w:asciiTheme="minorHAnsi" w:hAnsiTheme="minorHAnsi" w:cstheme="minorHAnsi"/>
                <w:color w:val="000000"/>
                <w:sz w:val="24"/>
                <w:szCs w:val="24"/>
              </w:rPr>
              <w:t xml:space="preserve"> oceny stanu wód. Nie ma więc konieczności uszczegóławiania zapisów RPS.</w:t>
            </w:r>
          </w:p>
        </w:tc>
      </w:tr>
      <w:tr w:rsidR="002D117B" w:rsidRPr="002D117B" w:rsidTr="002D117B">
        <w:trPr>
          <w:trHeight w:val="240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lastRenderedPageBreak/>
              <w:t>8.</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22.06.2021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xml:space="preserve">Gmina Nowy Dwór Gdański </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inne</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xml:space="preserve">Część diagnostyczna - Wnioski z diagnozy </w:t>
            </w:r>
            <w:proofErr w:type="spellStart"/>
            <w:r w:rsidRPr="00FF0084">
              <w:rPr>
                <w:rFonts w:asciiTheme="minorHAnsi" w:hAnsiTheme="minorHAnsi" w:cstheme="minorHAnsi"/>
                <w:color w:val="000000"/>
                <w:sz w:val="24"/>
                <w:szCs w:val="24"/>
              </w:rPr>
              <w:t>społeczno</w:t>
            </w:r>
            <w:proofErr w:type="spellEnd"/>
            <w:r w:rsidRPr="00FF0084">
              <w:rPr>
                <w:rFonts w:asciiTheme="minorHAnsi" w:hAnsiTheme="minorHAnsi" w:cstheme="minorHAnsi"/>
                <w:color w:val="000000"/>
                <w:sz w:val="24"/>
                <w:szCs w:val="24"/>
              </w:rPr>
              <w:t xml:space="preserve"> – gospodarczej w odniesieniu do bezpieczeństwa środowiskowego i energetycznego </w:t>
            </w:r>
            <w:r w:rsidRPr="00FF0084">
              <w:rPr>
                <w:rFonts w:asciiTheme="minorHAnsi" w:hAnsiTheme="minorHAnsi" w:cstheme="minorHAnsi"/>
                <w:b/>
                <w:bCs/>
                <w:color w:val="000000"/>
                <w:sz w:val="24"/>
                <w:szCs w:val="24"/>
              </w:rPr>
              <w:t>-&gt;</w:t>
            </w:r>
            <w:r w:rsidRPr="00FF0084">
              <w:rPr>
                <w:rFonts w:asciiTheme="minorHAnsi" w:hAnsiTheme="minorHAnsi" w:cstheme="minorHAnsi"/>
                <w:color w:val="000000"/>
                <w:sz w:val="24"/>
                <w:szCs w:val="24"/>
              </w:rPr>
              <w:t xml:space="preserve"> </w:t>
            </w:r>
            <w:r w:rsidRPr="00FF0084">
              <w:rPr>
                <w:rFonts w:asciiTheme="minorHAnsi" w:hAnsiTheme="minorHAnsi" w:cstheme="minorHAnsi"/>
                <w:color w:val="000000"/>
                <w:sz w:val="24"/>
                <w:szCs w:val="24"/>
                <w:u w:val="single"/>
              </w:rPr>
              <w:t>niewystarczający rozwój systemów zbierania i oczyszczania ścieków na obszarach poza aglomeracjami, w tym systemów indywidualnych (przydomowych oczyszczalni ścieków)</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color w:val="000000"/>
                <w:sz w:val="24"/>
                <w:szCs w:val="24"/>
              </w:rPr>
            </w:pPr>
            <w:r w:rsidRPr="00FF0084">
              <w:rPr>
                <w:rFonts w:asciiTheme="minorHAnsi" w:hAnsiTheme="minorHAnsi" w:cstheme="minorHAnsi"/>
                <w:color w:val="000000"/>
                <w:sz w:val="24"/>
                <w:szCs w:val="24"/>
              </w:rPr>
              <w:t>13</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niewystarczający rozwój systemów zbierania i oczyszczania ścieków na obszarach poza aglomeracjami, w tym systemów indywidualnych (przydomowych oczyszczalni ścieków) oraz systemów lokalnych na terenach, gdzie zbyt wysoki poziom wód gruntowych uniemożliwia lub istotnie utrudnia powstawanie systemów indywidualnych</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xml:space="preserve">Zbieranie i oczyszczanie ścieków na terenach poza aglomeracjami realizować można z wykorzystaniem systemów indywidualnych oraz lokalnych. Ze względu jednak na wysoki poziom wód gruntowych, niemożliwe jest (lub znacznie utrudnione) zastosowanie systemów indywidualnych. Te obszary powinny być szczególnie uprawnione do możliwości rozwoju systemów lokalnych. </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Uwaga uwzględniona</w:t>
            </w:r>
          </w:p>
        </w:tc>
      </w:tr>
      <w:tr w:rsidR="002D117B" w:rsidRPr="002D117B" w:rsidTr="002D117B">
        <w:trPr>
          <w:trHeight w:val="339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lastRenderedPageBreak/>
              <w:t>9.</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22.06.2021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Burmistrz Miasta Malborka</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inne</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Analiza SWOT (tabela)</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color w:val="000000"/>
                <w:sz w:val="24"/>
                <w:szCs w:val="24"/>
              </w:rPr>
            </w:pPr>
            <w:r w:rsidRPr="00FF0084">
              <w:rPr>
                <w:rFonts w:asciiTheme="minorHAnsi" w:hAnsiTheme="minorHAnsi" w:cstheme="minorHAnsi"/>
                <w:color w:val="000000"/>
                <w:sz w:val="24"/>
                <w:szCs w:val="24"/>
              </w:rPr>
              <w:t> </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Wskazuje się na zbyt duży stopień ogólności zapisów w analizie SWOT.</w:t>
            </w:r>
            <w:r w:rsidRPr="00FF0084">
              <w:rPr>
                <w:rFonts w:asciiTheme="minorHAnsi" w:hAnsiTheme="minorHAnsi" w:cstheme="minorHAnsi"/>
                <w:color w:val="000000"/>
                <w:sz w:val="24"/>
                <w:szCs w:val="24"/>
              </w:rPr>
              <w:br/>
              <w:t>Zasadnym jest doprecyzowanie niżej przytoczonych zapisów, przynajmniej co do najistotniejszych aspektów czy obszarów, których dany aspekt w szczególności dotyczy:</w:t>
            </w:r>
            <w:r w:rsidRPr="00FF0084">
              <w:rPr>
                <w:rFonts w:asciiTheme="minorHAnsi" w:hAnsiTheme="minorHAnsi" w:cstheme="minorHAnsi"/>
                <w:color w:val="000000"/>
                <w:sz w:val="24"/>
                <w:szCs w:val="24"/>
              </w:rPr>
              <w:br/>
              <w:t xml:space="preserve">a. „Dobrze rozbudowana infrastruktura ochrony środowiska(?), w szczególności na terenach zurbanizowanych”. </w:t>
            </w:r>
            <w:r w:rsidRPr="00FF0084">
              <w:rPr>
                <w:rFonts w:asciiTheme="minorHAnsi" w:hAnsiTheme="minorHAnsi" w:cstheme="minorHAnsi"/>
                <w:color w:val="000000"/>
                <w:sz w:val="24"/>
                <w:szCs w:val="24"/>
              </w:rPr>
              <w:br/>
              <w:t xml:space="preserve">b.  „Nierozwiązany problem(?) gospodarki wodno-ściekowej na terenach wiejskich”.                   </w:t>
            </w:r>
            <w:r w:rsidRPr="00FF0084">
              <w:rPr>
                <w:rFonts w:asciiTheme="minorHAnsi" w:hAnsiTheme="minorHAnsi" w:cstheme="minorHAnsi"/>
                <w:color w:val="000000"/>
                <w:sz w:val="24"/>
                <w:szCs w:val="24"/>
              </w:rPr>
              <w:br/>
              <w:t xml:space="preserve">c. „Nierozwiązanie problemów(?) gospodarki osadowej oraz niewykorzystanie potencjału komunalnego osadu ściekowego jako surowca”. </w:t>
            </w:r>
            <w:r w:rsidRPr="00FF0084">
              <w:rPr>
                <w:rFonts w:asciiTheme="minorHAnsi" w:hAnsiTheme="minorHAnsi" w:cstheme="minorHAnsi"/>
                <w:color w:val="000000"/>
                <w:sz w:val="24"/>
                <w:szCs w:val="24"/>
              </w:rPr>
              <w:br/>
              <w:t>d. „Niezadowalająca jakość powietrza”. Ze względu na jakie parametry?</w:t>
            </w:r>
            <w:r w:rsidRPr="00FF0084">
              <w:rPr>
                <w:rFonts w:asciiTheme="minorHAnsi" w:hAnsiTheme="minorHAnsi" w:cstheme="minorHAnsi"/>
                <w:color w:val="000000"/>
                <w:sz w:val="24"/>
                <w:szCs w:val="24"/>
              </w:rPr>
              <w:br/>
              <w:t>e. „Brak skutecznego zarządzania obszarami przybrzeżnymi.” (?)</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Analiza SW</w:t>
            </w:r>
            <w:r w:rsidR="002D117B">
              <w:rPr>
                <w:rFonts w:asciiTheme="minorHAnsi" w:hAnsiTheme="minorHAnsi" w:cstheme="minorHAnsi"/>
                <w:color w:val="283E1A"/>
                <w:sz w:val="24"/>
                <w:szCs w:val="24"/>
              </w:rPr>
              <w:t>OT z natury rzeczy nie zawiera sz</w:t>
            </w:r>
            <w:r w:rsidRPr="00FF0084">
              <w:rPr>
                <w:rFonts w:asciiTheme="minorHAnsi" w:hAnsiTheme="minorHAnsi" w:cstheme="minorHAnsi"/>
                <w:color w:val="283E1A"/>
                <w:sz w:val="24"/>
                <w:szCs w:val="24"/>
              </w:rPr>
              <w:t>czegółowych informacji. Jest konsekwencją treści zawartej w Diagnozie.</w:t>
            </w:r>
          </w:p>
        </w:tc>
      </w:tr>
      <w:tr w:rsidR="002D117B" w:rsidRPr="002D117B" w:rsidTr="002D117B">
        <w:trPr>
          <w:trHeight w:val="390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10.</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right"/>
              <w:rPr>
                <w:rFonts w:asciiTheme="minorHAnsi" w:hAnsiTheme="minorHAnsi" w:cstheme="minorHAnsi"/>
                <w:sz w:val="24"/>
                <w:szCs w:val="24"/>
              </w:rPr>
            </w:pPr>
            <w:r w:rsidRPr="00FF0084">
              <w:rPr>
                <w:rFonts w:asciiTheme="minorHAnsi" w:hAnsiTheme="minorHAnsi" w:cstheme="minorHAnsi"/>
                <w:sz w:val="24"/>
                <w:szCs w:val="24"/>
              </w:rPr>
              <w:t>22.06.2021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UM Rumia</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1.1</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Przedsięwzięcia strategiczne (Działanie 1.1.1)</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sz w:val="24"/>
                <w:szCs w:val="24"/>
              </w:rPr>
            </w:pPr>
            <w:r w:rsidRPr="00FF0084">
              <w:rPr>
                <w:rFonts w:asciiTheme="minorHAnsi" w:hAnsiTheme="minorHAnsi" w:cstheme="minorHAnsi"/>
                <w:sz w:val="24"/>
                <w:szCs w:val="24"/>
              </w:rPr>
              <w:t>28</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Dodanie nowego przedsięwzięcia strategicznego: „Program Kompleksowe zabezpieczenie przeciwpowodziowe zlewni rzeki Zagórskiej Strugi do roku 2030”</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Zagrożenie powodziowe na przedmiotowym terenie wymaga kompleksowych działań, a jednocześnie dotyczy terenów o znaczeniu strategicznym dla regionu i kraju, tj. przeznaczonych pod rozwój portu morskiego w Gdyni. Nieujęcie tego zagadnienia w ramy przedsięwzięcia o charakterze i znaczeniu strategicznym, może skutkować brakiem finansowania, a co za tym idzie zwiększeniem ryzyka powodziowego dla </w:t>
            </w:r>
            <w:r w:rsidRPr="00FF0084">
              <w:rPr>
                <w:rFonts w:asciiTheme="minorHAnsi" w:hAnsiTheme="minorHAnsi" w:cstheme="minorHAnsi"/>
                <w:sz w:val="24"/>
                <w:szCs w:val="24"/>
              </w:rPr>
              <w:lastRenderedPageBreak/>
              <w:t xml:space="preserve">przedmiotowego obszaru, w tym tempa rozwoju portu morskiego w Gdyni i całego łańcucha dostaw/specjalizacji z nim powiązanych, w tym sektora </w:t>
            </w:r>
            <w:proofErr w:type="spellStart"/>
            <w:r w:rsidRPr="00FF0084">
              <w:rPr>
                <w:rFonts w:asciiTheme="minorHAnsi" w:hAnsiTheme="minorHAnsi" w:cstheme="minorHAnsi"/>
                <w:sz w:val="24"/>
                <w:szCs w:val="24"/>
              </w:rPr>
              <w:t>offshore</w:t>
            </w:r>
            <w:proofErr w:type="spellEnd"/>
            <w:r w:rsidRPr="00FF0084">
              <w:rPr>
                <w:rFonts w:asciiTheme="minorHAnsi" w:hAnsiTheme="minorHAnsi" w:cstheme="minorHAnsi"/>
                <w:sz w:val="24"/>
                <w:szCs w:val="24"/>
              </w:rPr>
              <w:t xml:space="preserve"> na Morzu Bałtyckim.</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lastRenderedPageBreak/>
              <w:t>Uwaga nieuwzględniona.</w:t>
            </w:r>
            <w:r w:rsidRPr="00FF0084">
              <w:rPr>
                <w:rFonts w:asciiTheme="minorHAnsi" w:hAnsiTheme="minorHAnsi" w:cstheme="minorHAnsi"/>
                <w:sz w:val="24"/>
                <w:szCs w:val="24"/>
              </w:rPr>
              <w:br/>
              <w:t>Działania mające na celu zabezpieczenie przeciwpowodziowe zlewni rzeki Zagórskiej Strugi nie znalazły się w dokumencie Planu Zarządzania Ryzykiem Powodziowym, nie wykonano dla Zagórskiej Strugi map zagrożenia i ryzyka powodziowego. W związku z tym nie wiadomo z czego wynika taka potrzeba. Nie ma podstaw do uwzględnienia jako przedsięwzięcie strategiczne.</w:t>
            </w:r>
          </w:p>
        </w:tc>
      </w:tr>
      <w:tr w:rsidR="002D117B" w:rsidRPr="002D117B" w:rsidTr="002D117B">
        <w:trPr>
          <w:trHeight w:val="222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11.</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22.06.2021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Burmistrz Miasta Malborka</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1.2</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Działanie 1.2.3. </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sz w:val="24"/>
                <w:szCs w:val="24"/>
              </w:rPr>
            </w:pPr>
            <w:r w:rsidRPr="00FF0084">
              <w:rPr>
                <w:rFonts w:asciiTheme="minorHAnsi" w:hAnsiTheme="minorHAnsi" w:cstheme="minorHAnsi"/>
                <w:sz w:val="24"/>
                <w:szCs w:val="24"/>
              </w:rPr>
              <w:t> </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W Działaniu 1.2.3. Ochrona walorów przyrodniczo-krajobrazowych w szczególności na obszarach objętych formami ochrony przyrody oraz przeciwdziałanie fragmentacji przestrzeni przyrodniczej, kol. Zakres interwencji, sugeruje się wprowadzenie zapisu: „uwzględnianie w MPZP zakazów, obowiązków oraz warunków realizacji przedsięwzięć mogących negatywnie wpływać na walory przyrodnicze                                               i krajobrazowe obszarów”. Miejscowe plany zagospodarowania przestrzennego są aktami prawa miejscowego, tym samym są skutecznym narzędziem w planowaniu i dopuszczaniu inwestycji                        do realizacji. </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Uwaga nieuwzględniona:  kształt MPZP reguluje ustawa o planowaniu i zagospodarowaniu przestrzennym - nie ma potrzeby zamieszczania zapisów odnośnie tej kwestii w RPS</w:t>
            </w:r>
          </w:p>
        </w:tc>
      </w:tr>
      <w:tr w:rsidR="002D117B" w:rsidRPr="002D117B" w:rsidTr="002D117B">
        <w:trPr>
          <w:trHeight w:val="261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12.</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right"/>
              <w:rPr>
                <w:rFonts w:asciiTheme="minorHAnsi" w:hAnsiTheme="minorHAnsi" w:cstheme="minorHAnsi"/>
                <w:sz w:val="24"/>
                <w:szCs w:val="24"/>
              </w:rPr>
            </w:pPr>
            <w:r w:rsidRPr="00FF0084">
              <w:rPr>
                <w:rFonts w:asciiTheme="minorHAnsi" w:hAnsiTheme="minorHAnsi" w:cstheme="minorHAnsi"/>
                <w:sz w:val="24"/>
                <w:szCs w:val="24"/>
              </w:rPr>
              <w:t>21.06.2021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Centralny Wodociąg Żuławski Sp. z o.o. </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1.4</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Działanie 1.4.2  Kryteria Strategiczne. Specyficzne</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sz w:val="24"/>
                <w:szCs w:val="24"/>
              </w:rPr>
            </w:pPr>
            <w:r w:rsidRPr="00FF0084">
              <w:rPr>
                <w:rFonts w:asciiTheme="minorHAnsi" w:hAnsiTheme="minorHAnsi" w:cstheme="minorHAnsi"/>
                <w:sz w:val="24"/>
                <w:szCs w:val="24"/>
              </w:rPr>
              <w:t>44</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Stosowane obligatoryjnie:</w:t>
            </w:r>
            <w:r w:rsidRPr="00FF0084">
              <w:rPr>
                <w:rFonts w:asciiTheme="minorHAnsi" w:hAnsiTheme="minorHAnsi" w:cstheme="minorHAnsi"/>
                <w:sz w:val="24"/>
                <w:szCs w:val="24"/>
              </w:rPr>
              <w:br/>
              <w:t>Wsparcie przebudowy sieci wodociągowej możliwe będzie tylko w tych przypadkach, gdzie wykazane zostały straty wody na przesyle w ilości co najmniej 15% oraz przy prowadzeniu właściwej gospodarki ściekowej.</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Centralny Wodociąg Żuławski Sp. z o.o. w Nowym Dworze Gdańskim nie ma wpływu na właściwą gospodarkę ściekową na obszarze gmin, przez które przebiega azbestocementowa sieć </w:t>
            </w:r>
            <w:r w:rsidRPr="00FF0084">
              <w:rPr>
                <w:rFonts w:asciiTheme="minorHAnsi" w:hAnsiTheme="minorHAnsi" w:cstheme="minorHAnsi"/>
                <w:sz w:val="24"/>
                <w:szCs w:val="24"/>
              </w:rPr>
              <w:lastRenderedPageBreak/>
              <w:t>wodociągowa przewidziana do wymiany.</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lastRenderedPageBreak/>
              <w:t>Uwaga nieuwzględniona</w:t>
            </w:r>
            <w:r w:rsidRPr="00FF0084">
              <w:rPr>
                <w:rFonts w:asciiTheme="minorHAnsi" w:hAnsiTheme="minorHAnsi" w:cstheme="minorHAnsi"/>
                <w:sz w:val="24"/>
                <w:szCs w:val="24"/>
              </w:rPr>
              <w:br/>
              <w:t xml:space="preserve">Nie zaproponowano żadnych zmian do zapisu. Ponadto, zgodnie z Ustawą o utrzymaniu czystości i porządku w gminach, gmina ma obowiązek prowadzenia ewidencji bezodpływowych zbiorników wodnych i przydomowych oczyszczalni ścieków w celu monitoringu oraz opracowania planu rozwoju sieci kanalizacyjnej, co przyczynia się do zapewnienia właściwej gospodarki ściekowej na obszarze gminy. </w:t>
            </w:r>
          </w:p>
        </w:tc>
      </w:tr>
      <w:tr w:rsidR="002D117B" w:rsidRPr="002D117B" w:rsidTr="002D117B">
        <w:trPr>
          <w:trHeight w:val="330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13.</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22.06.2021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xml:space="preserve">Gmina Nowy Dwór Gdański </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1.4</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1) obszary aglomeracji ściekowych niespełniających wymagań akcesyjnych jako preferencja dla zakresu interwencji dotyczącego budowy i rozbudowy zbiorczych</w:t>
            </w:r>
            <w:r w:rsidR="002D117B">
              <w:rPr>
                <w:rFonts w:asciiTheme="minorHAnsi" w:hAnsiTheme="minorHAnsi" w:cstheme="minorHAnsi"/>
                <w:sz w:val="24"/>
                <w:szCs w:val="24"/>
              </w:rPr>
              <w:t xml:space="preserve"> </w:t>
            </w:r>
            <w:r w:rsidRPr="00FF0084">
              <w:rPr>
                <w:rFonts w:asciiTheme="minorHAnsi" w:hAnsiTheme="minorHAnsi" w:cstheme="minorHAnsi"/>
                <w:sz w:val="24"/>
                <w:szCs w:val="24"/>
              </w:rPr>
              <w:t xml:space="preserve">systemów odprowadzania i oczyszczania ścieków komunalnych, 2) obszary poza aglomeracjami ściekowymi -jako wyłączny dostęp dla zakresu interwencji dotyczącego </w:t>
            </w:r>
            <w:r w:rsidRPr="00FF0084">
              <w:rPr>
                <w:rFonts w:asciiTheme="minorHAnsi" w:hAnsiTheme="minorHAnsi" w:cstheme="minorHAnsi"/>
                <w:sz w:val="24"/>
                <w:szCs w:val="24"/>
              </w:rPr>
              <w:lastRenderedPageBreak/>
              <w:t xml:space="preserve">budowy lokalnych i indywidualnych systemów oczyszczania ścieków  </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sz w:val="24"/>
                <w:szCs w:val="24"/>
              </w:rPr>
            </w:pPr>
            <w:r w:rsidRPr="00FF0084">
              <w:rPr>
                <w:rFonts w:asciiTheme="minorHAnsi" w:hAnsiTheme="minorHAnsi" w:cstheme="minorHAnsi"/>
                <w:sz w:val="24"/>
                <w:szCs w:val="24"/>
              </w:rPr>
              <w:lastRenderedPageBreak/>
              <w:t>43</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1)      obszary aglomeracji ściekowych niespełniających wymagań akcesyjnych jako preferencja dla zakresu interwencji dotyczącego budowy i rozbudowy zbiorczych systemów odprowadzania i oczyszczania ścieków komunalnych, 2) obszary poza aglomeracjami ściekowymi -jako wyłączny dostęp dla zakresu interwencji dotyczącego:</w:t>
            </w:r>
            <w:r w:rsidRPr="00FF0084">
              <w:rPr>
                <w:rFonts w:asciiTheme="minorHAnsi" w:hAnsiTheme="minorHAnsi" w:cstheme="minorHAnsi"/>
                <w:sz w:val="24"/>
                <w:szCs w:val="24"/>
              </w:rPr>
              <w:br/>
              <w:t>-  budowy  indywidualnych systemów oczyszczania ścieków</w:t>
            </w:r>
            <w:r w:rsidRPr="00FF0084">
              <w:rPr>
                <w:rFonts w:asciiTheme="minorHAnsi" w:hAnsiTheme="minorHAnsi" w:cstheme="minorHAnsi"/>
                <w:sz w:val="24"/>
                <w:szCs w:val="24"/>
              </w:rPr>
              <w:br/>
              <w:t>- budowy lokalnych systemów oczyszczania ścieków na obszarach, gdzie wysoki poziom wód gruntowych uniemożliwia lub znacznie utrudnia zastosowanie systemów indywidualnych</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Zbieranie i oczyszczanie ścieków na terenach poza aglomeracjami realizować można z wykorzystaniem systemów indywidualnych oraz lokalnych. Ze względu jednak na wysoki poziom wód gruntowych, niemożliwe jest (lub znacznie utrudnione) zastosowanie systemów indywidualnych. Te obszary powinny być szczególnie uprawnione do możliwości rozwoju systemów lokalnych.</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Uwaga uwzględniona</w:t>
            </w:r>
          </w:p>
        </w:tc>
      </w:tr>
      <w:tr w:rsidR="002D117B" w:rsidRPr="002D117B" w:rsidTr="002D117B">
        <w:trPr>
          <w:trHeight w:val="123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14.</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22.06.2021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Burmistrz Miasta Malborka</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2.2</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Działanie 2.2</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sz w:val="24"/>
                <w:szCs w:val="24"/>
              </w:rPr>
            </w:pPr>
            <w:r w:rsidRPr="00FF0084">
              <w:rPr>
                <w:rFonts w:asciiTheme="minorHAnsi" w:hAnsiTheme="minorHAnsi" w:cstheme="minorHAnsi"/>
                <w:sz w:val="24"/>
                <w:szCs w:val="24"/>
              </w:rPr>
              <w:t> </w:t>
            </w:r>
          </w:p>
        </w:tc>
        <w:tc>
          <w:tcPr>
            <w:tcW w:w="6278" w:type="dxa"/>
            <w:tcBorders>
              <w:top w:val="nil"/>
              <w:left w:val="nil"/>
              <w:bottom w:val="single" w:sz="4" w:space="0" w:color="auto"/>
              <w:right w:val="single" w:sz="4" w:space="0" w:color="auto"/>
            </w:tcBorders>
            <w:shd w:val="clear" w:color="auto" w:fill="auto"/>
            <w:noWrap/>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W Działaniu 2.2. należałoby uwzględnić działania dla sektorów hodowli zwierząt  i uprawy (nawożenie).</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Uwaga nieuwzględniona.</w:t>
            </w:r>
            <w:r w:rsidRPr="00FF0084">
              <w:rPr>
                <w:rFonts w:asciiTheme="minorHAnsi" w:hAnsiTheme="minorHAnsi" w:cstheme="minorHAnsi"/>
                <w:sz w:val="24"/>
                <w:szCs w:val="24"/>
              </w:rPr>
              <w:br/>
              <w:t xml:space="preserve">RPS nie obejmuje wszystkich zagadnień z ochrony środowiska, dokonano wyboru strategicznego najważniejszych problemów. </w:t>
            </w:r>
          </w:p>
        </w:tc>
      </w:tr>
      <w:tr w:rsidR="002D117B" w:rsidRPr="002D117B" w:rsidTr="002D117B">
        <w:trPr>
          <w:trHeight w:val="153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15.</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22.06.2021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Burmistrz Miasta Malborka</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2.2</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Działanie 2.2.1</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sz w:val="24"/>
                <w:szCs w:val="24"/>
              </w:rPr>
            </w:pPr>
            <w:r w:rsidRPr="00FF0084">
              <w:rPr>
                <w:rFonts w:asciiTheme="minorHAnsi" w:hAnsiTheme="minorHAnsi" w:cstheme="minorHAnsi"/>
                <w:sz w:val="24"/>
                <w:szCs w:val="24"/>
              </w:rPr>
              <w:t> </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W Działaniu 2.2.1. Przebudowa indywidualnych i lokalnych źródeł ciepła w kierunku znaczącej redukcji emisji zanieczyszczeń oraz budowa, rozbudowa i modernizacja systemów ciepłowniczych, kol. Kryteria strategiczne – Specyficzne, sugeruje się wprowadzenie zapisu: „projekty i działania wynikające z planów gospodarki niskoemisyjnej, programów ograniczenia niskiej emisji”.</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Uwaga nieuwzględniona.</w:t>
            </w:r>
            <w:r w:rsidRPr="00FF0084">
              <w:rPr>
                <w:rFonts w:asciiTheme="minorHAnsi" w:hAnsiTheme="minorHAnsi" w:cstheme="minorHAnsi"/>
                <w:sz w:val="24"/>
                <w:szCs w:val="24"/>
              </w:rPr>
              <w:br/>
              <w:t>Brak uzasadnienia do wprowadzania jako preferencji dokumentu, który nie wynika z przepisów prawa.</w:t>
            </w:r>
          </w:p>
        </w:tc>
      </w:tr>
      <w:tr w:rsidR="002D117B" w:rsidRPr="002D117B" w:rsidTr="002D117B">
        <w:trPr>
          <w:trHeight w:val="2355"/>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16.</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right"/>
              <w:rPr>
                <w:rFonts w:asciiTheme="minorHAnsi" w:hAnsiTheme="minorHAnsi" w:cstheme="minorHAnsi"/>
                <w:color w:val="000000"/>
                <w:sz w:val="24"/>
                <w:szCs w:val="24"/>
              </w:rPr>
            </w:pPr>
            <w:r w:rsidRPr="00FF0084">
              <w:rPr>
                <w:rFonts w:asciiTheme="minorHAnsi" w:hAnsiTheme="minorHAnsi" w:cstheme="minorHAnsi"/>
                <w:color w:val="000000"/>
                <w:sz w:val="24"/>
                <w:szCs w:val="24"/>
              </w:rPr>
              <w:t>22.06.2021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UM Rumia</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2.2</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(Działanie 2.2.3, Kryteria strategiczne, Specyficzne), 2) budowa referencyjnej stacji monitoringu jakości powietrza</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color w:val="000000"/>
                <w:sz w:val="24"/>
                <w:szCs w:val="24"/>
              </w:rPr>
            </w:pPr>
            <w:r w:rsidRPr="00FF0084">
              <w:rPr>
                <w:rFonts w:asciiTheme="minorHAnsi" w:hAnsiTheme="minorHAnsi" w:cstheme="minorHAnsi"/>
                <w:color w:val="000000"/>
                <w:sz w:val="24"/>
                <w:szCs w:val="24"/>
              </w:rPr>
              <w:t>55</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xml:space="preserve">2)budowa i </w:t>
            </w:r>
            <w:r w:rsidRPr="00FF0084">
              <w:rPr>
                <w:rFonts w:asciiTheme="minorHAnsi" w:hAnsiTheme="minorHAnsi" w:cstheme="minorHAnsi"/>
                <w:b/>
                <w:bCs/>
                <w:color w:val="000000"/>
                <w:sz w:val="24"/>
                <w:szCs w:val="24"/>
                <w:u w:val="single"/>
              </w:rPr>
              <w:t>utrzymanie</w:t>
            </w:r>
            <w:r w:rsidRPr="00FF0084">
              <w:rPr>
                <w:rFonts w:asciiTheme="minorHAnsi" w:hAnsiTheme="minorHAnsi" w:cstheme="minorHAnsi"/>
                <w:color w:val="000000"/>
                <w:sz w:val="24"/>
                <w:szCs w:val="24"/>
              </w:rPr>
              <w:t xml:space="preserve"> referencyjnej stacji monitoringu jakości powietrza</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xml:space="preserve">Brak możliwości finansowania elementu utrzymaniowego może docelowo zmniejszyć zainteresowanie  tworzeniem systemu monitoringu jakości powietrza w gminach i miastach, a przez to wyhamować cały proces poprawy jakości powietrza </w:t>
            </w:r>
            <w:r w:rsidRPr="00FF0084">
              <w:rPr>
                <w:rFonts w:asciiTheme="minorHAnsi" w:hAnsiTheme="minorHAnsi" w:cstheme="minorHAnsi"/>
                <w:color w:val="000000"/>
                <w:sz w:val="24"/>
                <w:szCs w:val="24"/>
              </w:rPr>
              <w:lastRenderedPageBreak/>
              <w:t>w województwie pomorskim</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lastRenderedPageBreak/>
              <w:t>Uwaga nieuwzględniona.</w:t>
            </w:r>
            <w:r w:rsidRPr="00FF0084">
              <w:rPr>
                <w:rFonts w:asciiTheme="minorHAnsi" w:hAnsiTheme="minorHAnsi" w:cstheme="minorHAnsi"/>
                <w:sz w:val="24"/>
                <w:szCs w:val="24"/>
              </w:rPr>
              <w:br/>
              <w:t>Utrzymanie stacji monitoringu jakości powietrza nie ma charakteru strategicznego, dlatego nie zostało określone jako kryterium specyficzne (preferencja), co nie wyklucza możliwości wsparcia ze środków krajowych.</w:t>
            </w:r>
          </w:p>
        </w:tc>
      </w:tr>
      <w:tr w:rsidR="002D117B" w:rsidRPr="002D117B" w:rsidTr="002D117B">
        <w:trPr>
          <w:trHeight w:val="2355"/>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17.</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right"/>
              <w:rPr>
                <w:rFonts w:asciiTheme="minorHAnsi" w:hAnsiTheme="minorHAnsi" w:cstheme="minorHAnsi"/>
                <w:color w:val="000000"/>
                <w:sz w:val="24"/>
                <w:szCs w:val="24"/>
              </w:rPr>
            </w:pPr>
            <w:r w:rsidRPr="00FF0084">
              <w:rPr>
                <w:rFonts w:asciiTheme="minorHAnsi" w:hAnsiTheme="minorHAnsi" w:cstheme="minorHAnsi"/>
                <w:color w:val="000000"/>
                <w:sz w:val="24"/>
                <w:szCs w:val="24"/>
              </w:rPr>
              <w:t>16.06.2021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Powiat Chojnicki</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inne</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2D117B" w:rsidP="002D117B">
            <w:p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Załą</w:t>
            </w:r>
            <w:r w:rsidR="00FF0084" w:rsidRPr="00FF0084">
              <w:rPr>
                <w:rFonts w:asciiTheme="minorHAnsi" w:hAnsiTheme="minorHAnsi" w:cstheme="minorHAnsi"/>
                <w:color w:val="000000"/>
                <w:sz w:val="24"/>
                <w:szCs w:val="24"/>
              </w:rPr>
              <w:t>cznik 2. Modernizacja istniejącej instalacji do termicznego przekształcania odpadów medycznych i weterynaryjnych przy Szpitalu Specjalistycznym im. J.K. Łukowicza w Chojnicach.</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color w:val="000000"/>
                <w:sz w:val="24"/>
                <w:szCs w:val="24"/>
              </w:rPr>
            </w:pPr>
            <w:r w:rsidRPr="00FF0084">
              <w:rPr>
                <w:rFonts w:asciiTheme="minorHAnsi" w:hAnsiTheme="minorHAnsi" w:cstheme="minorHAnsi"/>
                <w:color w:val="000000"/>
                <w:sz w:val="24"/>
                <w:szCs w:val="24"/>
              </w:rPr>
              <w:t>68 (i inne)</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Budowa nowej instalacji unieszkodliwiania odpadów niebezpiecznych poprzez ich termiczne przekształcanie z wytwarzaniem energii w kogeneracji na terenie Szpitala Specjalistycznego im. J.K. Łukowicza w Chojnicach.</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 xml:space="preserve">Zmiana wynika z konieczności </w:t>
            </w:r>
            <w:r w:rsidR="002D117B">
              <w:rPr>
                <w:rFonts w:asciiTheme="minorHAnsi" w:hAnsiTheme="minorHAnsi" w:cstheme="minorHAnsi"/>
                <w:color w:val="000000"/>
                <w:sz w:val="24"/>
                <w:szCs w:val="24"/>
              </w:rPr>
              <w:t>ujednolicenia nazwy przedsięwzię</w:t>
            </w:r>
            <w:r w:rsidRPr="00FF0084">
              <w:rPr>
                <w:rFonts w:asciiTheme="minorHAnsi" w:hAnsiTheme="minorHAnsi" w:cstheme="minorHAnsi"/>
                <w:color w:val="000000"/>
                <w:sz w:val="24"/>
                <w:szCs w:val="24"/>
              </w:rPr>
              <w:t>cia z aktualnymi dokumentami</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Uwaga uwzględniona</w:t>
            </w:r>
          </w:p>
        </w:tc>
      </w:tr>
      <w:tr w:rsidR="002D117B" w:rsidRPr="002D117B" w:rsidTr="002D117B">
        <w:trPr>
          <w:trHeight w:val="480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lastRenderedPageBreak/>
              <w:t>18.</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right"/>
              <w:rPr>
                <w:rFonts w:asciiTheme="minorHAnsi" w:hAnsiTheme="minorHAnsi" w:cstheme="minorHAnsi"/>
                <w:color w:val="000000"/>
                <w:sz w:val="24"/>
                <w:szCs w:val="24"/>
              </w:rPr>
            </w:pPr>
            <w:r w:rsidRPr="00FF0084">
              <w:rPr>
                <w:rFonts w:asciiTheme="minorHAnsi" w:hAnsiTheme="minorHAnsi" w:cstheme="minorHAnsi"/>
                <w:color w:val="000000"/>
                <w:sz w:val="24"/>
                <w:szCs w:val="24"/>
              </w:rPr>
              <w:t>16.06.2021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Powiat Chojnicki</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inne</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2D117B" w:rsidP="002D117B">
            <w:p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Załą</w:t>
            </w:r>
            <w:r w:rsidR="00FF0084" w:rsidRPr="00FF0084">
              <w:rPr>
                <w:rFonts w:asciiTheme="minorHAnsi" w:hAnsiTheme="minorHAnsi" w:cstheme="minorHAnsi"/>
                <w:color w:val="000000"/>
                <w:sz w:val="24"/>
                <w:szCs w:val="24"/>
              </w:rPr>
              <w:t xml:space="preserve">cznik 2. Celem jest modernizacja istniejącej instalacji do termicznego przekształcania odpadów medycznych i weterynaryjnych przy Szpitalu Specjalistycznym im. J.K. Łukowicza w Chojnicach ul. Leśna 10 poprzez budowę nowej linii technologicznej o wydajności do 10 ton spalanych odpadów na dobę (3333 ton/rok) z kogeneracją (produkcją ciepła i energii elektrycznej) wraz z połączeniem technologicznym z istniejącą kotłownią. Ciepło i energia elektryczna będą wykorzystywane na potrzeby </w:t>
            </w:r>
            <w:r w:rsidR="00FF0084" w:rsidRPr="00FF0084">
              <w:rPr>
                <w:rFonts w:asciiTheme="minorHAnsi" w:hAnsiTheme="minorHAnsi" w:cstheme="minorHAnsi"/>
                <w:color w:val="000000"/>
                <w:sz w:val="24"/>
                <w:szCs w:val="24"/>
              </w:rPr>
              <w:lastRenderedPageBreak/>
              <w:t>własne a nadmiar energii elektrycznej zostanie sprzedana dystrybutorowi energii elektrycznej.</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color w:val="000000"/>
                <w:sz w:val="24"/>
                <w:szCs w:val="24"/>
              </w:rPr>
            </w:pPr>
            <w:r w:rsidRPr="00FF0084">
              <w:rPr>
                <w:rFonts w:asciiTheme="minorHAnsi" w:hAnsiTheme="minorHAnsi" w:cstheme="minorHAnsi"/>
                <w:color w:val="000000"/>
                <w:sz w:val="24"/>
                <w:szCs w:val="24"/>
              </w:rPr>
              <w:lastRenderedPageBreak/>
              <w:t>68</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Celem jest budowa no</w:t>
            </w:r>
            <w:r w:rsidR="002D117B">
              <w:rPr>
                <w:rFonts w:asciiTheme="minorHAnsi" w:hAnsiTheme="minorHAnsi" w:cstheme="minorHAnsi"/>
                <w:color w:val="000000"/>
                <w:sz w:val="24"/>
                <w:szCs w:val="24"/>
              </w:rPr>
              <w:t>wej instalacji unieszkodliwiania odpadó</w:t>
            </w:r>
            <w:r w:rsidRPr="00FF0084">
              <w:rPr>
                <w:rFonts w:asciiTheme="minorHAnsi" w:hAnsiTheme="minorHAnsi" w:cstheme="minorHAnsi"/>
                <w:color w:val="000000"/>
                <w:sz w:val="24"/>
                <w:szCs w:val="24"/>
              </w:rPr>
              <w:t xml:space="preserve">w niebezpiecznych </w:t>
            </w:r>
            <w:r w:rsidR="002D117B">
              <w:rPr>
                <w:rFonts w:asciiTheme="minorHAnsi" w:hAnsiTheme="minorHAnsi" w:cstheme="minorHAnsi"/>
                <w:color w:val="000000"/>
                <w:sz w:val="24"/>
                <w:szCs w:val="24"/>
              </w:rPr>
              <w:t>poprzez ich termiczne przekształ</w:t>
            </w:r>
            <w:r w:rsidRPr="00FF0084">
              <w:rPr>
                <w:rFonts w:asciiTheme="minorHAnsi" w:hAnsiTheme="minorHAnsi" w:cstheme="minorHAnsi"/>
                <w:color w:val="000000"/>
                <w:sz w:val="24"/>
                <w:szCs w:val="24"/>
              </w:rPr>
              <w:t>canie z wytwarzaniem energii w kogeneracji na terenie Szpitala Specjalistycznego im. J.K. Łukowicza w Chojnicach ul. Leśna 10 poprzez budowę nowej linii technologicznej o wydajności do 10 Mg spalanych odpadów na dobę (do 3280 Mg/rok) z kogeneracją (produkcją ciepła i energii elektrycznej) wraz z połączeniem technologicznym z istniejącą kotłownią. Ciepło i energia elektryczna będą wykorzystywane na potrzeby własne a nadmiar energii elektrycznej zostanie sprzedana dystrybutorowi energii elektrycznej.</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Zmiana wynika z konieczności u</w:t>
            </w:r>
            <w:r w:rsidR="002D117B">
              <w:rPr>
                <w:rFonts w:asciiTheme="minorHAnsi" w:hAnsiTheme="minorHAnsi" w:cstheme="minorHAnsi"/>
                <w:color w:val="000000"/>
                <w:sz w:val="24"/>
                <w:szCs w:val="24"/>
              </w:rPr>
              <w:t>jednolicenia nazwy przedsięwzięc</w:t>
            </w:r>
            <w:r w:rsidRPr="00FF0084">
              <w:rPr>
                <w:rFonts w:asciiTheme="minorHAnsi" w:hAnsiTheme="minorHAnsi" w:cstheme="minorHAnsi"/>
                <w:color w:val="000000"/>
                <w:sz w:val="24"/>
                <w:szCs w:val="24"/>
              </w:rPr>
              <w:t>ia z aktualnymi dokumentami</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Uwaga uwzględniona</w:t>
            </w:r>
          </w:p>
        </w:tc>
      </w:tr>
      <w:tr w:rsidR="002D117B" w:rsidRPr="002D117B" w:rsidTr="002D117B">
        <w:trPr>
          <w:trHeight w:val="810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lastRenderedPageBreak/>
              <w:t>19.</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right"/>
              <w:rPr>
                <w:rFonts w:asciiTheme="minorHAnsi" w:hAnsiTheme="minorHAnsi" w:cstheme="minorHAnsi"/>
                <w:color w:val="000000"/>
                <w:sz w:val="24"/>
                <w:szCs w:val="24"/>
              </w:rPr>
            </w:pPr>
            <w:r w:rsidRPr="00FF0084">
              <w:rPr>
                <w:rFonts w:asciiTheme="minorHAnsi" w:hAnsiTheme="minorHAnsi" w:cstheme="minorHAnsi"/>
                <w:color w:val="000000"/>
                <w:sz w:val="24"/>
                <w:szCs w:val="24"/>
              </w:rPr>
              <w:t>22.06.2021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UM Rumia</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inne</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Załącznik 2. Charakterystyka przedsięwzięć strategicznych</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color w:val="000000"/>
                <w:sz w:val="24"/>
                <w:szCs w:val="24"/>
              </w:rPr>
            </w:pPr>
            <w:r w:rsidRPr="00FF0084">
              <w:rPr>
                <w:rFonts w:asciiTheme="minorHAnsi" w:hAnsiTheme="minorHAnsi" w:cstheme="minorHAnsi"/>
                <w:color w:val="000000"/>
                <w:sz w:val="24"/>
                <w:szCs w:val="24"/>
              </w:rPr>
              <w:t>66</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Dodanie nowego przedsięwzięcia strategicznego (zgodnie z uwagą nr 1): Tytuł:</w:t>
            </w:r>
            <w:r w:rsidRPr="00FF0084">
              <w:rPr>
                <w:rFonts w:asciiTheme="minorHAnsi" w:hAnsiTheme="minorHAnsi" w:cstheme="minorHAnsi"/>
                <w:b/>
                <w:bCs/>
                <w:color w:val="000000"/>
                <w:sz w:val="24"/>
                <w:szCs w:val="24"/>
              </w:rPr>
              <w:t xml:space="preserve"> Program Kompleksowe zabezpieczenie przeciwpowodziowe Zlewni rzeki Zagórskiej Strugi do roku 2030. </w:t>
            </w:r>
            <w:r w:rsidRPr="00FF0084">
              <w:rPr>
                <w:rFonts w:asciiTheme="minorHAnsi" w:hAnsiTheme="minorHAnsi" w:cstheme="minorHAnsi"/>
                <w:color w:val="000000"/>
                <w:sz w:val="24"/>
                <w:szCs w:val="24"/>
              </w:rPr>
              <w:t>Jednostka odpowiedzialna za realizację lub koordynację: Gmina Miejska Rumia (koordynacja)</w:t>
            </w:r>
            <w:r w:rsidRPr="00FF0084">
              <w:rPr>
                <w:rFonts w:asciiTheme="minorHAnsi" w:hAnsiTheme="minorHAnsi" w:cstheme="minorHAnsi"/>
                <w:color w:val="000000"/>
                <w:sz w:val="24"/>
                <w:szCs w:val="24"/>
              </w:rPr>
              <w:br/>
              <w:t>Realizacja: PGW Wody Polskie, Gminy: Kosakowo, Szemud, Reda, Rumia, powiat pucki, powiat wejherowski, Miasto Gdynia.</w:t>
            </w:r>
            <w:r w:rsidRPr="00FF0084">
              <w:rPr>
                <w:rFonts w:asciiTheme="minorHAnsi" w:hAnsiTheme="minorHAnsi" w:cstheme="minorHAnsi"/>
                <w:color w:val="000000"/>
                <w:sz w:val="24"/>
                <w:szCs w:val="24"/>
              </w:rPr>
              <w:br/>
              <w:t>Termin realizacji: do 2030.</w:t>
            </w:r>
            <w:r w:rsidRPr="00FF0084">
              <w:rPr>
                <w:rFonts w:asciiTheme="minorHAnsi" w:hAnsiTheme="minorHAnsi" w:cstheme="minorHAnsi"/>
                <w:b/>
                <w:bCs/>
                <w:color w:val="000000"/>
                <w:sz w:val="24"/>
                <w:szCs w:val="24"/>
              </w:rPr>
              <w:t xml:space="preserve"> Zakres: </w:t>
            </w:r>
            <w:r w:rsidRPr="00FF0084">
              <w:rPr>
                <w:rFonts w:asciiTheme="minorHAnsi" w:hAnsiTheme="minorHAnsi" w:cstheme="minorHAnsi"/>
                <w:b/>
                <w:bCs/>
                <w:color w:val="000000"/>
                <w:sz w:val="24"/>
                <w:szCs w:val="24"/>
              </w:rPr>
              <w:br/>
              <w:t xml:space="preserve">1. Umocnienie skarp i brzegów rzeki Zagórskiej Strugi, </w:t>
            </w:r>
            <w:proofErr w:type="spellStart"/>
            <w:r w:rsidRPr="00FF0084">
              <w:rPr>
                <w:rFonts w:asciiTheme="minorHAnsi" w:hAnsiTheme="minorHAnsi" w:cstheme="minorHAnsi"/>
                <w:b/>
                <w:bCs/>
                <w:color w:val="000000"/>
                <w:sz w:val="24"/>
                <w:szCs w:val="24"/>
              </w:rPr>
              <w:t>Konitopu</w:t>
            </w:r>
            <w:proofErr w:type="spellEnd"/>
            <w:r w:rsidRPr="00FF0084">
              <w:rPr>
                <w:rFonts w:asciiTheme="minorHAnsi" w:hAnsiTheme="minorHAnsi" w:cstheme="minorHAnsi"/>
                <w:b/>
                <w:bCs/>
                <w:color w:val="000000"/>
                <w:sz w:val="24"/>
                <w:szCs w:val="24"/>
              </w:rPr>
              <w:t xml:space="preserve"> Leniwego, Kanału Łyski i potoku Cisowska Struga</w:t>
            </w:r>
            <w:r w:rsidRPr="00FF0084">
              <w:rPr>
                <w:rFonts w:asciiTheme="minorHAnsi" w:hAnsiTheme="minorHAnsi" w:cstheme="minorHAnsi"/>
                <w:b/>
                <w:bCs/>
                <w:color w:val="000000"/>
                <w:sz w:val="24"/>
                <w:szCs w:val="24"/>
              </w:rPr>
              <w:br/>
              <w:t xml:space="preserve">2. Budowa urządzenia wylotowego do Zagórskiej Strugi wód z sieci rowów odwadniających tereny przemysłowe w </w:t>
            </w:r>
            <w:proofErr w:type="spellStart"/>
            <w:r w:rsidRPr="00FF0084">
              <w:rPr>
                <w:rFonts w:asciiTheme="minorHAnsi" w:hAnsiTheme="minorHAnsi" w:cstheme="minorHAnsi"/>
                <w:b/>
                <w:bCs/>
                <w:color w:val="000000"/>
                <w:sz w:val="24"/>
                <w:szCs w:val="24"/>
              </w:rPr>
              <w:t>Rumi</w:t>
            </w:r>
            <w:proofErr w:type="spellEnd"/>
            <w:r w:rsidRPr="00FF0084">
              <w:rPr>
                <w:rFonts w:asciiTheme="minorHAnsi" w:hAnsiTheme="minorHAnsi" w:cstheme="minorHAnsi"/>
                <w:b/>
                <w:bCs/>
                <w:color w:val="000000"/>
                <w:sz w:val="24"/>
                <w:szCs w:val="24"/>
              </w:rPr>
              <w:br/>
              <w:t xml:space="preserve">3. Przebudowa i odtworzenie sieci rowów i urządzeń melioracyjnych odwadniających tereny tzw. Bagien Chylońskich, obejmujących tereny przemysłowe w </w:t>
            </w:r>
            <w:proofErr w:type="spellStart"/>
            <w:r w:rsidRPr="00FF0084">
              <w:rPr>
                <w:rFonts w:asciiTheme="minorHAnsi" w:hAnsiTheme="minorHAnsi" w:cstheme="minorHAnsi"/>
                <w:b/>
                <w:bCs/>
                <w:color w:val="000000"/>
                <w:sz w:val="24"/>
                <w:szCs w:val="24"/>
              </w:rPr>
              <w:t>Rumi</w:t>
            </w:r>
            <w:proofErr w:type="spellEnd"/>
            <w:r w:rsidRPr="00FF0084">
              <w:rPr>
                <w:rFonts w:asciiTheme="minorHAnsi" w:hAnsiTheme="minorHAnsi" w:cstheme="minorHAnsi"/>
                <w:b/>
                <w:bCs/>
                <w:color w:val="000000"/>
                <w:sz w:val="24"/>
                <w:szCs w:val="24"/>
              </w:rPr>
              <w:t>, tereny przemysłowe Gdyni oraz tereny przeznaczone pod powiększenie Portu Gdynia (administracyjnie włączone w 2020 roku w granice portu morskiego w Gdyni, określone w Rozporządzeniu Ministra Gospodarki Morskiej i Żeglugi Śródlądowej z dnia 27 kwietnia 2020 r. w sprawie granicy portu morskiego w Gdyni)</w:t>
            </w:r>
            <w:r w:rsidRPr="00FF0084">
              <w:rPr>
                <w:rFonts w:asciiTheme="minorHAnsi" w:hAnsiTheme="minorHAnsi" w:cstheme="minorHAnsi"/>
                <w:b/>
                <w:bCs/>
                <w:color w:val="000000"/>
                <w:sz w:val="24"/>
                <w:szCs w:val="24"/>
              </w:rPr>
              <w:br/>
              <w:t>4. Opracowanie modelu hydrodynamicznego zlewni rzeki Zagórskiej Strugi wraz z kanalizacjami deszczowymi</w:t>
            </w:r>
            <w:r w:rsidRPr="00FF0084">
              <w:rPr>
                <w:rFonts w:asciiTheme="minorHAnsi" w:hAnsiTheme="minorHAnsi" w:cstheme="minorHAnsi"/>
                <w:b/>
                <w:bCs/>
                <w:color w:val="000000"/>
                <w:sz w:val="24"/>
                <w:szCs w:val="24"/>
              </w:rPr>
              <w:br/>
              <w:t>5. Opracowanie koncepcji kompletnego rozwiązania zagospodarowania wód opadowych i zabezpieczeń przeciwpowodziowych w zlewni Zagórskiej Strugi, ze szczególnym uwzględnieniem wód opadowo-roztopowych na terenach leśnych</w:t>
            </w:r>
            <w:r w:rsidRPr="00FF0084">
              <w:rPr>
                <w:rFonts w:asciiTheme="minorHAnsi" w:hAnsiTheme="minorHAnsi" w:cstheme="minorHAnsi"/>
                <w:color w:val="000000"/>
                <w:sz w:val="24"/>
                <w:szCs w:val="24"/>
              </w:rPr>
              <w:br/>
              <w:t xml:space="preserve">Kluczowi partnerzy: Wody Polskie, Port Gdynia, Lasy Państwowe, Pomorski Zespół Parków Krajobrazowych (Samorząd Województwa). Orientacyjna wartość całkowita przedsięwzięcia </w:t>
            </w:r>
            <w:r w:rsidRPr="00FF0084">
              <w:rPr>
                <w:rFonts w:asciiTheme="minorHAnsi" w:hAnsiTheme="minorHAnsi" w:cstheme="minorHAnsi"/>
                <w:color w:val="000000"/>
                <w:sz w:val="24"/>
                <w:szCs w:val="24"/>
              </w:rPr>
              <w:br/>
            </w:r>
            <w:r w:rsidRPr="00FF0084">
              <w:rPr>
                <w:rFonts w:asciiTheme="minorHAnsi" w:hAnsiTheme="minorHAnsi" w:cstheme="minorHAnsi"/>
                <w:color w:val="000000"/>
                <w:sz w:val="24"/>
                <w:szCs w:val="24"/>
              </w:rPr>
              <w:lastRenderedPageBreak/>
              <w:t>(w zł): 150 000 000</w:t>
            </w:r>
            <w:r w:rsidRPr="00FF0084">
              <w:rPr>
                <w:rFonts w:asciiTheme="minorHAnsi" w:hAnsiTheme="minorHAnsi" w:cstheme="minorHAnsi"/>
                <w:color w:val="000000"/>
                <w:sz w:val="24"/>
                <w:szCs w:val="24"/>
              </w:rPr>
              <w:br/>
              <w:t xml:space="preserve">Główne źródła i formy finansowania: </w:t>
            </w:r>
            <w:r w:rsidRPr="00FF0084">
              <w:rPr>
                <w:rFonts w:asciiTheme="minorHAnsi" w:hAnsiTheme="minorHAnsi" w:cstheme="minorHAnsi"/>
                <w:color w:val="000000"/>
                <w:sz w:val="24"/>
                <w:szCs w:val="24"/>
              </w:rPr>
              <w:br/>
              <w:t>1. Środki UE 2021 – 2027</w:t>
            </w:r>
            <w:r w:rsidRPr="00FF0084">
              <w:rPr>
                <w:rFonts w:asciiTheme="minorHAnsi" w:hAnsiTheme="minorHAnsi" w:cstheme="minorHAnsi"/>
                <w:color w:val="000000"/>
                <w:sz w:val="24"/>
                <w:szCs w:val="24"/>
              </w:rPr>
              <w:br/>
              <w:t>2. NFOŚiGW/</w:t>
            </w:r>
            <w:proofErr w:type="spellStart"/>
            <w:r w:rsidRPr="00FF0084">
              <w:rPr>
                <w:rFonts w:asciiTheme="minorHAnsi" w:hAnsiTheme="minorHAnsi" w:cstheme="minorHAnsi"/>
                <w:color w:val="000000"/>
                <w:sz w:val="24"/>
                <w:szCs w:val="24"/>
              </w:rPr>
              <w:t>WFOŚiGW</w:t>
            </w:r>
            <w:proofErr w:type="spellEnd"/>
            <w:r w:rsidRPr="00FF0084">
              <w:rPr>
                <w:rFonts w:asciiTheme="minorHAnsi" w:hAnsiTheme="minorHAnsi" w:cstheme="minorHAnsi"/>
                <w:color w:val="000000"/>
                <w:sz w:val="24"/>
                <w:szCs w:val="24"/>
              </w:rPr>
              <w:br/>
              <w:t>3. Środki własne PGW Wody Polskie</w:t>
            </w:r>
            <w:r w:rsidRPr="00FF0084">
              <w:rPr>
                <w:rFonts w:asciiTheme="minorHAnsi" w:hAnsiTheme="minorHAnsi" w:cstheme="minorHAnsi"/>
                <w:color w:val="000000"/>
                <w:sz w:val="24"/>
                <w:szCs w:val="24"/>
              </w:rPr>
              <w:br/>
              <w:t>4. Środki własne gmin i powiatów</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lastRenderedPageBreak/>
              <w:t xml:space="preserve">Zagrożenie powodziowe na przedmiotowym terenie wymaga kompleksowych działań, a jednocześnie dotyczy terenów o znaczeniu strategicznym dla regionu i kraju, tj. przeznaczonych pod rozwój portu morskiego w Gdyni. Nieujęcie tego zagadnienia w ramy przedsięwzięcia o charakterze i znaczeniu strategicznym, może skutkować brakiem finansowania, a co za tym idzie zwiększeniem ryzyka powodziowego dla przedmiotowego obszaru, w tym tempa rozwoju portu morskiego w Gdyni i całego łańcucha dostaw/specjalizacji z nim powiązanych, w tym sektora </w:t>
            </w:r>
            <w:proofErr w:type="spellStart"/>
            <w:r w:rsidRPr="00FF0084">
              <w:rPr>
                <w:rFonts w:asciiTheme="minorHAnsi" w:hAnsiTheme="minorHAnsi" w:cstheme="minorHAnsi"/>
                <w:color w:val="000000"/>
                <w:sz w:val="24"/>
                <w:szCs w:val="24"/>
              </w:rPr>
              <w:t>offshore</w:t>
            </w:r>
            <w:proofErr w:type="spellEnd"/>
            <w:r w:rsidRPr="00FF0084">
              <w:rPr>
                <w:rFonts w:asciiTheme="minorHAnsi" w:hAnsiTheme="minorHAnsi" w:cstheme="minorHAnsi"/>
                <w:color w:val="000000"/>
                <w:sz w:val="24"/>
                <w:szCs w:val="24"/>
              </w:rPr>
              <w:t xml:space="preserve"> na Morzu Bałtyckim.</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Uwaga nieuwzględniona.</w:t>
            </w:r>
            <w:r w:rsidRPr="00FF0084">
              <w:rPr>
                <w:rFonts w:asciiTheme="minorHAnsi" w:hAnsiTheme="minorHAnsi" w:cstheme="minorHAnsi"/>
                <w:sz w:val="24"/>
                <w:szCs w:val="24"/>
              </w:rPr>
              <w:br/>
              <w:t>Działania mające na celu zabezpieczenie przeciwpowodziowe zlewni rzeki Zagórskiej Strugi nie znalazły się w dokumencie Planu Zarządzania Ryzykiem Powodziowym, nie wykonano dla Zagórskiej Strugi map zagrożenia i ryzyka powodziowego. W związku z tym nie wiadomo z czego wynika taka potrzeba. Nie ma podstaw do uwzględnienia jako przedsięwzięcie strategiczne.</w:t>
            </w:r>
          </w:p>
        </w:tc>
      </w:tr>
      <w:tr w:rsidR="002D117B" w:rsidRPr="002D117B" w:rsidTr="002D117B">
        <w:trPr>
          <w:trHeight w:val="186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20.</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right"/>
              <w:rPr>
                <w:rFonts w:asciiTheme="minorHAnsi" w:hAnsiTheme="minorHAnsi" w:cstheme="minorHAnsi"/>
                <w:sz w:val="24"/>
                <w:szCs w:val="24"/>
              </w:rPr>
            </w:pPr>
            <w:r w:rsidRPr="00FF0084">
              <w:rPr>
                <w:rFonts w:asciiTheme="minorHAnsi" w:hAnsiTheme="minorHAnsi" w:cstheme="minorHAnsi"/>
                <w:sz w:val="24"/>
                <w:szCs w:val="24"/>
              </w:rPr>
              <w:t>21.06.2021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Centralny Wodociąg Żuławski Sp. z o.o. </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inne</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Załączniki: zał. 2</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sz w:val="24"/>
                <w:szCs w:val="24"/>
              </w:rPr>
            </w:pPr>
            <w:r w:rsidRPr="00FF0084">
              <w:rPr>
                <w:rFonts w:asciiTheme="minorHAnsi" w:hAnsiTheme="minorHAnsi" w:cstheme="minorHAnsi"/>
                <w:sz w:val="24"/>
                <w:szCs w:val="24"/>
              </w:rPr>
              <w:t>71/72</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Termin realizacji:  Luty 2021 do 31.12.2026 r. Zakres: </w:t>
            </w:r>
            <w:r w:rsidRPr="00FF0084">
              <w:rPr>
                <w:rFonts w:asciiTheme="minorHAnsi" w:hAnsiTheme="minorHAnsi" w:cstheme="minorHAnsi"/>
                <w:sz w:val="24"/>
                <w:szCs w:val="24"/>
              </w:rPr>
              <w:br/>
              <w:t>- wymiana najbardziej awaryjnej sieci wodociągowej z azbestocementu (40 km sieci).</w:t>
            </w:r>
            <w:r w:rsidRPr="00FF0084">
              <w:rPr>
                <w:rFonts w:asciiTheme="minorHAnsi" w:hAnsiTheme="minorHAnsi" w:cstheme="minorHAnsi"/>
                <w:sz w:val="24"/>
                <w:szCs w:val="24"/>
              </w:rPr>
              <w:br/>
              <w:t>- budowa stacji podnoszenia ciśnienia wody w miejscowości Stegna i Sztutowo.</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Ze względu na duży zakres przedsięwzięcia proponujemy wydłużenie terminu realizacji. Proponujemy zwiększenie długości sieci do wymiany. Poprawa zaopatrzenia w wodę mieszkańców </w:t>
            </w:r>
            <w:r w:rsidRPr="00FF0084">
              <w:rPr>
                <w:rFonts w:asciiTheme="minorHAnsi" w:hAnsiTheme="minorHAnsi" w:cstheme="minorHAnsi"/>
                <w:sz w:val="24"/>
                <w:szCs w:val="24"/>
              </w:rPr>
              <w:lastRenderedPageBreak/>
              <w:t>miejscowości Stegna i gminy Sztutowo.</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lastRenderedPageBreak/>
              <w:t>Uwaga uwzględniona</w:t>
            </w:r>
          </w:p>
        </w:tc>
      </w:tr>
      <w:tr w:rsidR="002D117B" w:rsidRPr="002D117B" w:rsidTr="00FF0084">
        <w:trPr>
          <w:trHeight w:val="900"/>
        </w:trPr>
        <w:tc>
          <w:tcPr>
            <w:tcW w:w="419" w:type="dxa"/>
            <w:tcBorders>
              <w:top w:val="nil"/>
              <w:left w:val="single" w:sz="4" w:space="0" w:color="auto"/>
              <w:bottom w:val="single" w:sz="4" w:space="0" w:color="auto"/>
              <w:right w:val="single" w:sz="4" w:space="0" w:color="auto"/>
            </w:tcBorders>
            <w:shd w:val="clear" w:color="auto" w:fill="auto"/>
            <w:vAlign w:val="bottom"/>
            <w:hideMark/>
          </w:tcPr>
          <w:p w:rsidR="00FF0084" w:rsidRPr="00FF0084" w:rsidRDefault="00FF0084" w:rsidP="002D117B">
            <w:pPr>
              <w:spacing w:line="276" w:lineRule="auto"/>
              <w:rPr>
                <w:rFonts w:asciiTheme="minorHAnsi" w:hAnsiTheme="minorHAnsi" w:cstheme="minorHAnsi"/>
                <w:color w:val="283E1A"/>
                <w:sz w:val="24"/>
                <w:szCs w:val="24"/>
              </w:rPr>
            </w:pPr>
            <w:r w:rsidRPr="00FF0084">
              <w:rPr>
                <w:rFonts w:asciiTheme="minorHAnsi" w:hAnsiTheme="minorHAnsi" w:cstheme="minorHAnsi"/>
                <w:color w:val="283E1A"/>
                <w:sz w:val="24"/>
                <w:szCs w:val="24"/>
              </w:rPr>
              <w:t>21.</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22.06.2021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Burmistrz Miasta Malborka</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color w:val="000000"/>
                <w:sz w:val="24"/>
                <w:szCs w:val="24"/>
              </w:rPr>
            </w:pPr>
            <w:r w:rsidRPr="00FF0084">
              <w:rPr>
                <w:rFonts w:asciiTheme="minorHAnsi" w:hAnsiTheme="minorHAnsi" w:cstheme="minorHAnsi"/>
                <w:color w:val="000000"/>
                <w:sz w:val="24"/>
                <w:szCs w:val="24"/>
              </w:rPr>
              <w:t>inne</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uwaga ogólna</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sz w:val="24"/>
                <w:szCs w:val="24"/>
              </w:rPr>
            </w:pPr>
            <w:r w:rsidRPr="00FF0084">
              <w:rPr>
                <w:rFonts w:asciiTheme="minorHAnsi" w:hAnsiTheme="minorHAnsi" w:cstheme="minorHAnsi"/>
                <w:sz w:val="24"/>
                <w:szCs w:val="24"/>
              </w:rPr>
              <w:t> </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Projekt RPS nie uwzględnia problematyki zanieczyszczenia światłem.</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Uwaga nieuwzględniona. RPS </w:t>
            </w:r>
            <w:proofErr w:type="spellStart"/>
            <w:r w:rsidRPr="00FF0084">
              <w:rPr>
                <w:rFonts w:asciiTheme="minorHAnsi" w:hAnsiTheme="minorHAnsi" w:cstheme="minorHAnsi"/>
                <w:sz w:val="24"/>
                <w:szCs w:val="24"/>
              </w:rPr>
              <w:t>BŚiE</w:t>
            </w:r>
            <w:proofErr w:type="spellEnd"/>
            <w:r w:rsidRPr="00FF0084">
              <w:rPr>
                <w:rFonts w:asciiTheme="minorHAnsi" w:hAnsiTheme="minorHAnsi" w:cstheme="minorHAnsi"/>
                <w:sz w:val="24"/>
                <w:szCs w:val="24"/>
              </w:rPr>
              <w:t xml:space="preserve"> nie obejmuje wszystkich zagadnień z ochrony środowiska, dokonano wyboru strategicznego najważniejszych problemów.</w:t>
            </w:r>
          </w:p>
        </w:tc>
      </w:tr>
      <w:tr w:rsidR="00FF0084" w:rsidRPr="00FF0084" w:rsidTr="00FF0084">
        <w:trPr>
          <w:trHeight w:val="570"/>
        </w:trPr>
        <w:tc>
          <w:tcPr>
            <w:tcW w:w="419" w:type="dxa"/>
            <w:tcBorders>
              <w:top w:val="nil"/>
              <w:left w:val="single" w:sz="4" w:space="0" w:color="auto"/>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w:t>
            </w:r>
          </w:p>
        </w:tc>
        <w:tc>
          <w:tcPr>
            <w:tcW w:w="21553" w:type="dxa"/>
            <w:gridSpan w:val="8"/>
            <w:tcBorders>
              <w:top w:val="single" w:sz="4" w:space="0" w:color="auto"/>
              <w:left w:val="nil"/>
              <w:bottom w:val="single" w:sz="4" w:space="0" w:color="auto"/>
              <w:right w:val="single" w:sz="4" w:space="0" w:color="auto"/>
            </w:tcBorders>
            <w:shd w:val="clear" w:color="000000" w:fill="C6EFCE"/>
            <w:hideMark/>
          </w:tcPr>
          <w:p w:rsidR="00FF0084" w:rsidRPr="00FF0084" w:rsidRDefault="00FF0084" w:rsidP="002D117B">
            <w:pPr>
              <w:spacing w:line="276" w:lineRule="auto"/>
              <w:rPr>
                <w:rFonts w:asciiTheme="minorHAnsi" w:hAnsiTheme="minorHAnsi" w:cstheme="minorHAnsi"/>
                <w:b/>
                <w:bCs/>
                <w:color w:val="000000"/>
                <w:sz w:val="24"/>
                <w:szCs w:val="24"/>
              </w:rPr>
            </w:pPr>
            <w:r w:rsidRPr="00FF0084">
              <w:rPr>
                <w:rFonts w:asciiTheme="minorHAnsi" w:hAnsiTheme="minorHAnsi" w:cstheme="minorHAnsi"/>
                <w:b/>
                <w:bCs/>
                <w:color w:val="000000"/>
                <w:sz w:val="24"/>
                <w:szCs w:val="24"/>
              </w:rPr>
              <w:t xml:space="preserve">Prognoza </w:t>
            </w:r>
            <w:proofErr w:type="spellStart"/>
            <w:r w:rsidRPr="00FF0084">
              <w:rPr>
                <w:rFonts w:asciiTheme="minorHAnsi" w:hAnsiTheme="minorHAnsi" w:cstheme="minorHAnsi"/>
                <w:b/>
                <w:bCs/>
                <w:color w:val="000000"/>
                <w:sz w:val="24"/>
                <w:szCs w:val="24"/>
              </w:rPr>
              <w:t>ooś</w:t>
            </w:r>
            <w:proofErr w:type="spellEnd"/>
          </w:p>
        </w:tc>
      </w:tr>
      <w:tr w:rsidR="002D117B" w:rsidRPr="002D117B" w:rsidTr="00FF0084">
        <w:trPr>
          <w:trHeight w:val="1500"/>
        </w:trPr>
        <w:tc>
          <w:tcPr>
            <w:tcW w:w="419" w:type="dxa"/>
            <w:tcBorders>
              <w:top w:val="nil"/>
              <w:left w:val="single" w:sz="4" w:space="0" w:color="auto"/>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22.</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right"/>
              <w:rPr>
                <w:rFonts w:asciiTheme="minorHAnsi" w:hAnsiTheme="minorHAnsi" w:cstheme="minorHAnsi"/>
                <w:sz w:val="24"/>
                <w:szCs w:val="24"/>
              </w:rPr>
            </w:pPr>
            <w:r w:rsidRPr="00FF0084">
              <w:rPr>
                <w:rFonts w:asciiTheme="minorHAnsi" w:hAnsiTheme="minorHAnsi" w:cstheme="minorHAnsi"/>
                <w:sz w:val="24"/>
                <w:szCs w:val="24"/>
              </w:rPr>
              <w:t>22.06.2021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Park Narodowy „Bory Tucholskie”</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Prognoza </w:t>
            </w:r>
            <w:proofErr w:type="spellStart"/>
            <w:r w:rsidRPr="00FF0084">
              <w:rPr>
                <w:rFonts w:asciiTheme="minorHAnsi" w:hAnsiTheme="minorHAnsi" w:cstheme="minorHAnsi"/>
                <w:sz w:val="24"/>
                <w:szCs w:val="24"/>
              </w:rPr>
              <w:t>ooś</w:t>
            </w:r>
            <w:proofErr w:type="spellEnd"/>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b/>
                <w:bCs/>
                <w:sz w:val="24"/>
                <w:szCs w:val="24"/>
              </w:rPr>
            </w:pPr>
            <w:r w:rsidRPr="00FF0084">
              <w:rPr>
                <w:rFonts w:asciiTheme="minorHAnsi" w:hAnsiTheme="minorHAnsi" w:cstheme="minorHAnsi"/>
                <w:b/>
                <w:bCs/>
                <w:sz w:val="24"/>
                <w:szCs w:val="24"/>
              </w:rPr>
              <w:t xml:space="preserve">Prognoza </w:t>
            </w:r>
            <w:proofErr w:type="spellStart"/>
            <w:r w:rsidRPr="00FF0084">
              <w:rPr>
                <w:rFonts w:asciiTheme="minorHAnsi" w:hAnsiTheme="minorHAnsi" w:cstheme="minorHAnsi"/>
                <w:b/>
                <w:bCs/>
                <w:sz w:val="24"/>
                <w:szCs w:val="24"/>
              </w:rPr>
              <w:t>ooś</w:t>
            </w:r>
            <w:proofErr w:type="spellEnd"/>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sz w:val="24"/>
                <w:szCs w:val="24"/>
              </w:rPr>
            </w:pPr>
            <w:r w:rsidRPr="00FF0084">
              <w:rPr>
                <w:rFonts w:asciiTheme="minorHAnsi" w:hAnsiTheme="minorHAnsi" w:cstheme="minorHAnsi"/>
                <w:sz w:val="24"/>
                <w:szCs w:val="24"/>
              </w:rPr>
              <w:t> </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5.1.3. Obszary chronione - Park Narodowy „Bory Tucholskie” – aktualizacja danych wg poniższego: Na terenie Parku zlokalizowanych jest 8 jezior </w:t>
            </w:r>
            <w:proofErr w:type="spellStart"/>
            <w:r w:rsidRPr="00FF0084">
              <w:rPr>
                <w:rFonts w:asciiTheme="minorHAnsi" w:hAnsiTheme="minorHAnsi" w:cstheme="minorHAnsi"/>
                <w:sz w:val="24"/>
                <w:szCs w:val="24"/>
              </w:rPr>
              <w:t>lobeliowych</w:t>
            </w:r>
            <w:proofErr w:type="spellEnd"/>
            <w:r w:rsidRPr="00FF0084">
              <w:rPr>
                <w:rFonts w:asciiTheme="minorHAnsi" w:hAnsiTheme="minorHAnsi" w:cstheme="minorHAnsi"/>
                <w:sz w:val="24"/>
                <w:szCs w:val="24"/>
              </w:rPr>
              <w:t>. Fauna Parku liczy 217 gatunków kręgowców, w tym: 42 ssaków, 130 ptaków, 5 gadów, 11 płazów i 29 ryb oraz 1399 gatunków bezkręgowców. Dla Parku Narodowego „Bory Tucholskie” Rozporządzeniem Ministra Środowiska z dnia 15 grudnia 2008 r. został ustanowiony plan ochrony (Dz. U. 2008 nr 230, poz. 1545).</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2D117B" w:rsidP="002D117B">
            <w:pPr>
              <w:spacing w:line="276" w:lineRule="auto"/>
              <w:rPr>
                <w:rFonts w:asciiTheme="minorHAnsi" w:hAnsiTheme="minorHAnsi" w:cstheme="minorHAnsi"/>
                <w:sz w:val="24"/>
                <w:szCs w:val="24"/>
              </w:rPr>
            </w:pPr>
            <w:r>
              <w:rPr>
                <w:rFonts w:asciiTheme="minorHAnsi" w:hAnsiTheme="minorHAnsi" w:cstheme="minorHAnsi"/>
                <w:sz w:val="24"/>
                <w:szCs w:val="24"/>
              </w:rPr>
              <w:t>Uwaga uwzględniona. W następnych opracowaniach wykonywany</w:t>
            </w:r>
            <w:r w:rsidR="00FF0084" w:rsidRPr="00FF0084">
              <w:rPr>
                <w:rFonts w:asciiTheme="minorHAnsi" w:hAnsiTheme="minorHAnsi" w:cstheme="minorHAnsi"/>
                <w:sz w:val="24"/>
                <w:szCs w:val="24"/>
              </w:rPr>
              <w:t xml:space="preserve">ch przez samorząd województwa będzie wykorzystywana informacja przedłożona przez PN "Bory Tucholskie" w ramach konsultacji RPS </w:t>
            </w:r>
            <w:proofErr w:type="spellStart"/>
            <w:r w:rsidR="00FF0084" w:rsidRPr="00FF0084">
              <w:rPr>
                <w:rFonts w:asciiTheme="minorHAnsi" w:hAnsiTheme="minorHAnsi" w:cstheme="minorHAnsi"/>
                <w:sz w:val="24"/>
                <w:szCs w:val="24"/>
              </w:rPr>
              <w:t>BŚiE</w:t>
            </w:r>
            <w:proofErr w:type="spellEnd"/>
            <w:r w:rsidR="00FF0084" w:rsidRPr="00FF0084">
              <w:rPr>
                <w:rFonts w:asciiTheme="minorHAnsi" w:hAnsiTheme="minorHAnsi" w:cstheme="minorHAnsi"/>
                <w:sz w:val="24"/>
                <w:szCs w:val="24"/>
              </w:rPr>
              <w:t xml:space="preserve"> i Prognozy </w:t>
            </w:r>
            <w:proofErr w:type="spellStart"/>
            <w:r w:rsidR="00FF0084" w:rsidRPr="00FF0084">
              <w:rPr>
                <w:rFonts w:asciiTheme="minorHAnsi" w:hAnsiTheme="minorHAnsi" w:cstheme="minorHAnsi"/>
                <w:sz w:val="24"/>
                <w:szCs w:val="24"/>
              </w:rPr>
              <w:t>ooś</w:t>
            </w:r>
            <w:proofErr w:type="spellEnd"/>
            <w:r w:rsidR="00FF0084" w:rsidRPr="00FF0084">
              <w:rPr>
                <w:rFonts w:asciiTheme="minorHAnsi" w:hAnsiTheme="minorHAnsi" w:cstheme="minorHAnsi"/>
                <w:sz w:val="24"/>
                <w:szCs w:val="24"/>
              </w:rPr>
              <w:t>.</w:t>
            </w:r>
          </w:p>
        </w:tc>
      </w:tr>
      <w:tr w:rsidR="00FF0084" w:rsidRPr="00FF0084" w:rsidTr="00FF0084">
        <w:trPr>
          <w:trHeight w:val="600"/>
        </w:trPr>
        <w:tc>
          <w:tcPr>
            <w:tcW w:w="419" w:type="dxa"/>
            <w:tcBorders>
              <w:top w:val="nil"/>
              <w:left w:val="single" w:sz="4" w:space="0" w:color="auto"/>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w:t>
            </w:r>
          </w:p>
        </w:tc>
        <w:tc>
          <w:tcPr>
            <w:tcW w:w="21553" w:type="dxa"/>
            <w:gridSpan w:val="8"/>
            <w:tcBorders>
              <w:top w:val="single" w:sz="4" w:space="0" w:color="auto"/>
              <w:left w:val="nil"/>
              <w:bottom w:val="single" w:sz="4" w:space="0" w:color="auto"/>
              <w:right w:val="single" w:sz="4" w:space="0" w:color="auto"/>
            </w:tcBorders>
            <w:shd w:val="clear" w:color="000000" w:fill="F78181"/>
            <w:hideMark/>
          </w:tcPr>
          <w:p w:rsidR="00FF0084" w:rsidRPr="00FF0084" w:rsidRDefault="00FF0084" w:rsidP="002D117B">
            <w:pPr>
              <w:spacing w:line="276" w:lineRule="auto"/>
              <w:rPr>
                <w:rFonts w:asciiTheme="minorHAnsi" w:hAnsiTheme="minorHAnsi" w:cstheme="minorHAnsi"/>
                <w:b/>
                <w:bCs/>
                <w:sz w:val="24"/>
                <w:szCs w:val="24"/>
              </w:rPr>
            </w:pPr>
            <w:r w:rsidRPr="00FF0084">
              <w:rPr>
                <w:rFonts w:asciiTheme="minorHAnsi" w:hAnsiTheme="minorHAnsi" w:cstheme="minorHAnsi"/>
                <w:b/>
                <w:bCs/>
                <w:sz w:val="24"/>
                <w:szCs w:val="24"/>
              </w:rPr>
              <w:t>Uwagi PO TERMINIE</w:t>
            </w:r>
          </w:p>
        </w:tc>
      </w:tr>
      <w:tr w:rsidR="002D117B" w:rsidRPr="002D117B" w:rsidTr="002D117B">
        <w:trPr>
          <w:trHeight w:val="1800"/>
        </w:trPr>
        <w:tc>
          <w:tcPr>
            <w:tcW w:w="419" w:type="dxa"/>
            <w:tcBorders>
              <w:top w:val="nil"/>
              <w:left w:val="single" w:sz="4" w:space="0" w:color="auto"/>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23.</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right"/>
              <w:rPr>
                <w:rFonts w:asciiTheme="minorHAnsi" w:hAnsiTheme="minorHAnsi" w:cstheme="minorHAnsi"/>
                <w:sz w:val="24"/>
                <w:szCs w:val="24"/>
              </w:rPr>
            </w:pPr>
            <w:r w:rsidRPr="00FF0084">
              <w:rPr>
                <w:rFonts w:asciiTheme="minorHAnsi" w:hAnsiTheme="minorHAnsi" w:cstheme="minorHAnsi"/>
                <w:sz w:val="24"/>
                <w:szCs w:val="24"/>
              </w:rPr>
              <w:t>23.06.2021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Gmina Władysławowo</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1.2</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Działanie 1.2.2 Ochrona wód i ekosystemów od wód zależnych, w szczególności jezior</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sz w:val="24"/>
                <w:szCs w:val="24"/>
              </w:rPr>
            </w:pPr>
            <w:r w:rsidRPr="00FF0084">
              <w:rPr>
                <w:rFonts w:asciiTheme="minorHAnsi" w:hAnsiTheme="minorHAnsi" w:cstheme="minorHAnsi"/>
                <w:sz w:val="24"/>
                <w:szCs w:val="24"/>
              </w:rPr>
              <w:t>34</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urządzanie i zagospodarowanie terenów wokół rzek, jezior i zbiorników wodnych w celu ograniczenia spływu powierzchniowego i antropopresji oraz działania zmierzające do likwidacji istniejących czynników pochodzenia antropogenicznego zanieczyszczających ekosystemy wodne</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Na terenie m.in. Nadmorskiego Obszaru Chronionego Krajobrazu istnieją obszary zagospodarowane liczną </w:t>
            </w:r>
            <w:proofErr w:type="spellStart"/>
            <w:r w:rsidRPr="00FF0084">
              <w:rPr>
                <w:rFonts w:asciiTheme="minorHAnsi" w:hAnsiTheme="minorHAnsi" w:cstheme="minorHAnsi"/>
                <w:sz w:val="24"/>
                <w:szCs w:val="24"/>
              </w:rPr>
              <w:t>substandardową</w:t>
            </w:r>
            <w:proofErr w:type="spellEnd"/>
            <w:r w:rsidRPr="00FF0084">
              <w:rPr>
                <w:rFonts w:asciiTheme="minorHAnsi" w:hAnsiTheme="minorHAnsi" w:cstheme="minorHAnsi"/>
                <w:sz w:val="24"/>
                <w:szCs w:val="24"/>
              </w:rPr>
              <w:t xml:space="preserve"> zabudową na terenach zalewowych w bezpośrednim sąsiedztwie rzek i kanałów wodnych – gdzie nieczystości ciekłe odprowadzane są wprost do gruntu i sąsiadujących </w:t>
            </w:r>
            <w:r w:rsidRPr="00FF0084">
              <w:rPr>
                <w:rFonts w:asciiTheme="minorHAnsi" w:hAnsiTheme="minorHAnsi" w:cstheme="minorHAnsi"/>
                <w:sz w:val="24"/>
                <w:szCs w:val="24"/>
              </w:rPr>
              <w:lastRenderedPageBreak/>
              <w:t>cieków wodnych poza wszelką kontrolą.</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lastRenderedPageBreak/>
              <w:t xml:space="preserve">Uwaga nieuwzględniona - proponowane działania związane są ze stosowaniem obowiązującego prawa (ustawa o utrzymaniu czystości i porządku w gminach) </w:t>
            </w:r>
          </w:p>
        </w:tc>
      </w:tr>
      <w:tr w:rsidR="002D117B" w:rsidRPr="002D117B" w:rsidTr="002D117B">
        <w:trPr>
          <w:trHeight w:val="600"/>
        </w:trPr>
        <w:tc>
          <w:tcPr>
            <w:tcW w:w="419" w:type="dxa"/>
            <w:tcBorders>
              <w:top w:val="nil"/>
              <w:left w:val="single" w:sz="4" w:space="0" w:color="auto"/>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24.</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right"/>
              <w:rPr>
                <w:rFonts w:asciiTheme="minorHAnsi" w:hAnsiTheme="minorHAnsi" w:cstheme="minorHAnsi"/>
                <w:sz w:val="24"/>
                <w:szCs w:val="24"/>
              </w:rPr>
            </w:pPr>
            <w:r w:rsidRPr="00FF0084">
              <w:rPr>
                <w:rFonts w:asciiTheme="minorHAnsi" w:hAnsiTheme="minorHAnsi" w:cstheme="minorHAnsi"/>
                <w:sz w:val="24"/>
                <w:szCs w:val="24"/>
              </w:rPr>
              <w:t>23.06.2021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Gmina Władysławowo</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1.2</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Działanie 1.2.3</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sz w:val="24"/>
                <w:szCs w:val="24"/>
              </w:rPr>
            </w:pPr>
            <w:r w:rsidRPr="00FF0084">
              <w:rPr>
                <w:rFonts w:asciiTheme="minorHAnsi" w:hAnsiTheme="minorHAnsi" w:cstheme="minorHAnsi"/>
                <w:sz w:val="24"/>
                <w:szCs w:val="24"/>
              </w:rPr>
              <w:t>35</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budowa/ przebudowa/modernizacja i poprawa stanu technicznego przepustów i przejść dla zwierząt</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Zapisy działania powinny umożliwiać podejmowania jakichkolwiek działań służących ochronie zwierząt.</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Uwaga nieuwzględniona: przyjęte w RPS pojęcie "modernizacji" jest wystarczająco szerokie</w:t>
            </w:r>
          </w:p>
        </w:tc>
      </w:tr>
      <w:tr w:rsidR="002D117B" w:rsidRPr="002D117B" w:rsidTr="002D117B">
        <w:trPr>
          <w:trHeight w:val="2370"/>
        </w:trPr>
        <w:tc>
          <w:tcPr>
            <w:tcW w:w="419" w:type="dxa"/>
            <w:tcBorders>
              <w:top w:val="nil"/>
              <w:left w:val="single" w:sz="4" w:space="0" w:color="auto"/>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25.</w:t>
            </w:r>
          </w:p>
        </w:tc>
        <w:tc>
          <w:tcPr>
            <w:tcW w:w="11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right"/>
              <w:rPr>
                <w:rFonts w:asciiTheme="minorHAnsi" w:hAnsiTheme="minorHAnsi" w:cstheme="minorHAnsi"/>
                <w:sz w:val="24"/>
                <w:szCs w:val="24"/>
              </w:rPr>
            </w:pPr>
            <w:r w:rsidRPr="00FF0084">
              <w:rPr>
                <w:rFonts w:asciiTheme="minorHAnsi" w:hAnsiTheme="minorHAnsi" w:cstheme="minorHAnsi"/>
                <w:sz w:val="24"/>
                <w:szCs w:val="24"/>
              </w:rPr>
              <w:t>23.06.2021</w:t>
            </w:r>
          </w:p>
        </w:tc>
        <w:tc>
          <w:tcPr>
            <w:tcW w:w="150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Gmina Władysławowo</w:t>
            </w:r>
          </w:p>
        </w:tc>
        <w:tc>
          <w:tcPr>
            <w:tcW w:w="97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1.2</w:t>
            </w:r>
          </w:p>
        </w:tc>
        <w:tc>
          <w:tcPr>
            <w:tcW w:w="19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Działanie 1.2.3 Ochrona walorów przyrodniczo-krajobrazowych w szczególności na obszarach objętych formami ochrony przyrody oraz przeciwdziałanie fragmentacji przestrzeni przyrodniczej</w:t>
            </w:r>
          </w:p>
        </w:tc>
        <w:tc>
          <w:tcPr>
            <w:tcW w:w="74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jc w:val="center"/>
              <w:rPr>
                <w:rFonts w:asciiTheme="minorHAnsi" w:hAnsiTheme="minorHAnsi" w:cstheme="minorHAnsi"/>
                <w:sz w:val="24"/>
                <w:szCs w:val="24"/>
              </w:rPr>
            </w:pPr>
            <w:r w:rsidRPr="00FF0084">
              <w:rPr>
                <w:rFonts w:asciiTheme="minorHAnsi" w:hAnsiTheme="minorHAnsi" w:cstheme="minorHAnsi"/>
                <w:sz w:val="24"/>
                <w:szCs w:val="24"/>
              </w:rPr>
              <w:t>36</w:t>
            </w:r>
          </w:p>
        </w:tc>
        <w:tc>
          <w:tcPr>
            <w:tcW w:w="6278"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Rozszerzyć o działania zmierzające do inwentaryzacji oraz likwidacji czynników </w:t>
            </w:r>
            <w:proofErr w:type="spellStart"/>
            <w:r w:rsidRPr="00FF0084">
              <w:rPr>
                <w:rFonts w:asciiTheme="minorHAnsi" w:hAnsiTheme="minorHAnsi" w:cstheme="minorHAnsi"/>
                <w:sz w:val="24"/>
                <w:szCs w:val="24"/>
              </w:rPr>
              <w:t>defragmentujących</w:t>
            </w:r>
            <w:proofErr w:type="spellEnd"/>
            <w:r w:rsidRPr="00FF0084">
              <w:rPr>
                <w:rFonts w:asciiTheme="minorHAnsi" w:hAnsiTheme="minorHAnsi" w:cstheme="minorHAnsi"/>
                <w:sz w:val="24"/>
                <w:szCs w:val="24"/>
              </w:rPr>
              <w:t xml:space="preserve"> przestrzeń przyrodniczą i stanowiących bariery wewnątrz korytarzy ekologicznych</w:t>
            </w:r>
          </w:p>
        </w:tc>
        <w:tc>
          <w:tcPr>
            <w:tcW w:w="2977"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 xml:space="preserve">Na terenach objętych formami ochrony przyrody w miejscach z zakazem zabudowy istnieje wiele nielegalnych obiektów (budynki, ogrodzenia) </w:t>
            </w:r>
            <w:proofErr w:type="spellStart"/>
            <w:r w:rsidRPr="00FF0084">
              <w:rPr>
                <w:rFonts w:asciiTheme="minorHAnsi" w:hAnsiTheme="minorHAnsi" w:cstheme="minorHAnsi"/>
                <w:sz w:val="24"/>
                <w:szCs w:val="24"/>
              </w:rPr>
              <w:t>defragmentujących</w:t>
            </w:r>
            <w:proofErr w:type="spellEnd"/>
            <w:r w:rsidRPr="00FF0084">
              <w:rPr>
                <w:rFonts w:asciiTheme="minorHAnsi" w:hAnsiTheme="minorHAnsi" w:cstheme="minorHAnsi"/>
                <w:sz w:val="24"/>
                <w:szCs w:val="24"/>
              </w:rPr>
              <w:t xml:space="preserve"> cenne przyrodniczo obszary i stanowiące bariery wewnątrz korytarzy ekologicznych.</w:t>
            </w:r>
          </w:p>
        </w:tc>
        <w:tc>
          <w:tcPr>
            <w:tcW w:w="5954" w:type="dxa"/>
            <w:tcBorders>
              <w:top w:val="nil"/>
              <w:left w:val="nil"/>
              <w:bottom w:val="single" w:sz="4" w:space="0" w:color="auto"/>
              <w:right w:val="single" w:sz="4" w:space="0" w:color="auto"/>
            </w:tcBorders>
            <w:shd w:val="clear" w:color="auto" w:fill="auto"/>
            <w:hideMark/>
          </w:tcPr>
          <w:p w:rsidR="00FF0084" w:rsidRPr="00FF0084" w:rsidRDefault="00FF0084" w:rsidP="002D117B">
            <w:pPr>
              <w:spacing w:line="276" w:lineRule="auto"/>
              <w:rPr>
                <w:rFonts w:asciiTheme="minorHAnsi" w:hAnsiTheme="minorHAnsi" w:cstheme="minorHAnsi"/>
                <w:sz w:val="24"/>
                <w:szCs w:val="24"/>
              </w:rPr>
            </w:pPr>
            <w:r w:rsidRPr="00FF0084">
              <w:rPr>
                <w:rFonts w:asciiTheme="minorHAnsi" w:hAnsiTheme="minorHAnsi" w:cstheme="minorHAnsi"/>
                <w:sz w:val="24"/>
                <w:szCs w:val="24"/>
              </w:rPr>
              <w:t>Uwaga nieuwzględniona: w RPS znajduje się zapis "przy</w:t>
            </w:r>
            <w:r w:rsidR="002D117B">
              <w:rPr>
                <w:rFonts w:asciiTheme="minorHAnsi" w:hAnsiTheme="minorHAnsi" w:cstheme="minorHAnsi"/>
                <w:sz w:val="24"/>
                <w:szCs w:val="24"/>
              </w:rPr>
              <w:t>wracanie drożności i poprawa cią</w:t>
            </w:r>
            <w:r w:rsidRPr="00FF0084">
              <w:rPr>
                <w:rFonts w:asciiTheme="minorHAnsi" w:hAnsiTheme="minorHAnsi" w:cstheme="minorHAnsi"/>
                <w:sz w:val="24"/>
                <w:szCs w:val="24"/>
              </w:rPr>
              <w:t>głości oraz funkcjonowania korytarzy ekologicznych" zaproponowany zapis mieści się w wskazanym wyżej zakresie interwencji.</w:t>
            </w:r>
          </w:p>
        </w:tc>
      </w:tr>
    </w:tbl>
    <w:p w:rsidR="005C1E92" w:rsidRDefault="005C1E92" w:rsidP="002D117B"/>
    <w:sectPr w:rsidR="005C1E92" w:rsidSect="00FF0084">
      <w:footerReference w:type="default" r:id="rId8"/>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9BA" w:rsidRDefault="00F539BA" w:rsidP="00733DEE">
      <w:r>
        <w:separator/>
      </w:r>
    </w:p>
  </w:endnote>
  <w:endnote w:type="continuationSeparator" w:id="0">
    <w:p w:rsidR="00F539BA" w:rsidRDefault="00F539BA" w:rsidP="0073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643013"/>
      <w:docPartObj>
        <w:docPartGallery w:val="Page Numbers (Bottom of Page)"/>
        <w:docPartUnique/>
      </w:docPartObj>
    </w:sdtPr>
    <w:sdtEndPr/>
    <w:sdtContent>
      <w:p w:rsidR="00A56210" w:rsidRDefault="00A56210">
        <w:pPr>
          <w:pStyle w:val="Stopka"/>
          <w:jc w:val="right"/>
        </w:pPr>
        <w:r>
          <w:fldChar w:fldCharType="begin"/>
        </w:r>
        <w:r>
          <w:instrText>PAGE   \* MERGEFORMAT</w:instrText>
        </w:r>
        <w:r>
          <w:fldChar w:fldCharType="separate"/>
        </w:r>
        <w:r w:rsidR="00AA5D82">
          <w:rPr>
            <w:noProof/>
          </w:rPr>
          <w:t>1</w:t>
        </w:r>
        <w:r>
          <w:fldChar w:fldCharType="end"/>
        </w:r>
      </w:p>
    </w:sdtContent>
  </w:sdt>
  <w:p w:rsidR="00733DEE" w:rsidRDefault="00733D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9BA" w:rsidRDefault="00F539BA" w:rsidP="00733DEE">
      <w:r>
        <w:separator/>
      </w:r>
    </w:p>
  </w:footnote>
  <w:footnote w:type="continuationSeparator" w:id="0">
    <w:p w:rsidR="00F539BA" w:rsidRDefault="00F539BA" w:rsidP="00733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542B2"/>
    <w:multiLevelType w:val="hybridMultilevel"/>
    <w:tmpl w:val="81AC2DEA"/>
    <w:lvl w:ilvl="0" w:tplc="65144ED8">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 w15:restartNumberingAfterBreak="0">
    <w:nsid w:val="5B910152"/>
    <w:multiLevelType w:val="multilevel"/>
    <w:tmpl w:val="C21426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D9C036A"/>
    <w:multiLevelType w:val="hybridMultilevel"/>
    <w:tmpl w:val="5A608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F823C6E"/>
    <w:multiLevelType w:val="hybridMultilevel"/>
    <w:tmpl w:val="ADD2C352"/>
    <w:lvl w:ilvl="0" w:tplc="9468DC22">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2842702"/>
    <w:multiLevelType w:val="hybridMultilevel"/>
    <w:tmpl w:val="739CB27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B143E77"/>
    <w:multiLevelType w:val="hybridMultilevel"/>
    <w:tmpl w:val="94B21868"/>
    <w:lvl w:ilvl="0" w:tplc="89FE7B1E">
      <w:start w:val="1"/>
      <w:numFmt w:val="decimal"/>
      <w:lvlText w:val="%1."/>
      <w:lvlJc w:val="left"/>
      <w:pPr>
        <w:ind w:left="340" w:hanging="1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E92"/>
    <w:rsid w:val="00020926"/>
    <w:rsid w:val="000355B4"/>
    <w:rsid w:val="000D5BFA"/>
    <w:rsid w:val="0026570A"/>
    <w:rsid w:val="002D117B"/>
    <w:rsid w:val="003E1245"/>
    <w:rsid w:val="003E17F4"/>
    <w:rsid w:val="00434CA6"/>
    <w:rsid w:val="005C1E92"/>
    <w:rsid w:val="006B6029"/>
    <w:rsid w:val="00731FCA"/>
    <w:rsid w:val="00733DEE"/>
    <w:rsid w:val="00812745"/>
    <w:rsid w:val="00891ADA"/>
    <w:rsid w:val="00892680"/>
    <w:rsid w:val="0096015A"/>
    <w:rsid w:val="009E4AF6"/>
    <w:rsid w:val="00A322F9"/>
    <w:rsid w:val="00A56210"/>
    <w:rsid w:val="00AA5D82"/>
    <w:rsid w:val="00BC616E"/>
    <w:rsid w:val="00C53084"/>
    <w:rsid w:val="00C931AA"/>
    <w:rsid w:val="00D15C4B"/>
    <w:rsid w:val="00D730E9"/>
    <w:rsid w:val="00F539BA"/>
    <w:rsid w:val="00F64579"/>
    <w:rsid w:val="00FE21FD"/>
    <w:rsid w:val="00FF00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4A2E6"/>
  <w15:chartTrackingRefBased/>
  <w15:docId w15:val="{8518F14C-7CAC-4B33-B088-F99E14D9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17F4"/>
    <w:pPr>
      <w:spacing w:after="0" w:line="240" w:lineRule="auto"/>
    </w:pPr>
    <w:rPr>
      <w:rFonts w:ascii="Arial" w:hAnsi="Arial" w:cs="Times New Roman"/>
      <w:szCs w:val="20"/>
      <w:lang w:eastAsia="pl-PL"/>
    </w:rPr>
  </w:style>
  <w:style w:type="paragraph" w:styleId="Nagwek1">
    <w:name w:val="heading 1"/>
    <w:basedOn w:val="Normalny"/>
    <w:next w:val="Normalny"/>
    <w:link w:val="Nagwek1Znak"/>
    <w:uiPriority w:val="9"/>
    <w:qFormat/>
    <w:rsid w:val="000355B4"/>
    <w:pPr>
      <w:keepNext/>
      <w:keepLines/>
      <w:spacing w:before="360" w:after="240" w:line="276" w:lineRule="auto"/>
      <w:jc w:val="center"/>
      <w:outlineLvl w:val="0"/>
    </w:pPr>
    <w:rPr>
      <w:rFonts w:asciiTheme="minorHAnsi" w:eastAsiaTheme="majorEastAsia" w:hAnsiTheme="minorHAnsi" w:cstheme="majorBidi"/>
      <w:b/>
      <w:sz w:val="28"/>
      <w:szCs w:val="32"/>
      <w:lang w:eastAsia="en-US"/>
    </w:rPr>
  </w:style>
  <w:style w:type="paragraph" w:styleId="Nagwek2">
    <w:name w:val="heading 2"/>
    <w:basedOn w:val="Normalny"/>
    <w:next w:val="Normalny"/>
    <w:link w:val="Nagwek2Znak"/>
    <w:uiPriority w:val="9"/>
    <w:qFormat/>
    <w:rsid w:val="006B6029"/>
    <w:pPr>
      <w:keepNext/>
      <w:spacing w:before="240" w:after="120" w:line="276" w:lineRule="auto"/>
      <w:jc w:val="right"/>
      <w:outlineLvl w:val="1"/>
    </w:pPr>
    <w:rPr>
      <w:rFonts w:asciiTheme="minorHAnsi" w:hAnsiTheme="minorHAnsi" w:cstheme="minorBidi"/>
      <w:bCs/>
      <w:iCs/>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355B4"/>
    <w:rPr>
      <w:rFonts w:eastAsiaTheme="majorEastAsia" w:cstheme="majorBidi"/>
      <w:b/>
      <w:sz w:val="28"/>
      <w:szCs w:val="32"/>
    </w:rPr>
  </w:style>
  <w:style w:type="character" w:customStyle="1" w:styleId="Nagwek2Znak">
    <w:name w:val="Nagłówek 2 Znak"/>
    <w:link w:val="Nagwek2"/>
    <w:uiPriority w:val="9"/>
    <w:rsid w:val="006B6029"/>
    <w:rPr>
      <w:bCs/>
      <w:iCs/>
      <w:lang w:val="x-none" w:eastAsia="x-none"/>
    </w:rPr>
  </w:style>
  <w:style w:type="paragraph" w:styleId="Akapitzlist">
    <w:name w:val="List Paragraph"/>
    <w:basedOn w:val="Normalny"/>
    <w:uiPriority w:val="34"/>
    <w:qFormat/>
    <w:rsid w:val="003E17F4"/>
    <w:pPr>
      <w:ind w:left="720"/>
      <w:contextualSpacing/>
    </w:pPr>
  </w:style>
  <w:style w:type="paragraph" w:styleId="Nagwek">
    <w:name w:val="header"/>
    <w:basedOn w:val="Normalny"/>
    <w:link w:val="NagwekZnak"/>
    <w:uiPriority w:val="99"/>
    <w:unhideWhenUsed/>
    <w:rsid w:val="00733DEE"/>
    <w:pPr>
      <w:tabs>
        <w:tab w:val="center" w:pos="4536"/>
        <w:tab w:val="right" w:pos="9072"/>
      </w:tabs>
    </w:pPr>
  </w:style>
  <w:style w:type="character" w:customStyle="1" w:styleId="NagwekZnak">
    <w:name w:val="Nagłówek Znak"/>
    <w:basedOn w:val="Domylnaczcionkaakapitu"/>
    <w:link w:val="Nagwek"/>
    <w:uiPriority w:val="99"/>
    <w:rsid w:val="00733DEE"/>
    <w:rPr>
      <w:rFonts w:ascii="Arial" w:hAnsi="Arial" w:cs="Times New Roman"/>
      <w:szCs w:val="20"/>
      <w:lang w:eastAsia="pl-PL"/>
    </w:rPr>
  </w:style>
  <w:style w:type="paragraph" w:styleId="Stopka">
    <w:name w:val="footer"/>
    <w:basedOn w:val="Normalny"/>
    <w:link w:val="StopkaZnak"/>
    <w:uiPriority w:val="99"/>
    <w:unhideWhenUsed/>
    <w:rsid w:val="00733DEE"/>
    <w:pPr>
      <w:tabs>
        <w:tab w:val="center" w:pos="4536"/>
        <w:tab w:val="right" w:pos="9072"/>
      </w:tabs>
    </w:pPr>
  </w:style>
  <w:style w:type="character" w:customStyle="1" w:styleId="StopkaZnak">
    <w:name w:val="Stopka Znak"/>
    <w:basedOn w:val="Domylnaczcionkaakapitu"/>
    <w:link w:val="Stopka"/>
    <w:uiPriority w:val="99"/>
    <w:rsid w:val="00733DEE"/>
    <w:rPr>
      <w:rFonts w:ascii="Arial" w:hAnsi="Arial"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89521">
      <w:bodyDiv w:val="1"/>
      <w:marLeft w:val="0"/>
      <w:marRight w:val="0"/>
      <w:marTop w:val="0"/>
      <w:marBottom w:val="0"/>
      <w:divBdr>
        <w:top w:val="none" w:sz="0" w:space="0" w:color="auto"/>
        <w:left w:val="none" w:sz="0" w:space="0" w:color="auto"/>
        <w:bottom w:val="none" w:sz="0" w:space="0" w:color="auto"/>
        <w:right w:val="none" w:sz="0" w:space="0" w:color="auto"/>
      </w:divBdr>
    </w:div>
    <w:div w:id="304508350">
      <w:bodyDiv w:val="1"/>
      <w:marLeft w:val="0"/>
      <w:marRight w:val="0"/>
      <w:marTop w:val="0"/>
      <w:marBottom w:val="0"/>
      <w:divBdr>
        <w:top w:val="none" w:sz="0" w:space="0" w:color="auto"/>
        <w:left w:val="none" w:sz="0" w:space="0" w:color="auto"/>
        <w:bottom w:val="none" w:sz="0" w:space="0" w:color="auto"/>
        <w:right w:val="none" w:sz="0" w:space="0" w:color="auto"/>
      </w:divBdr>
    </w:div>
    <w:div w:id="760683444">
      <w:bodyDiv w:val="1"/>
      <w:marLeft w:val="0"/>
      <w:marRight w:val="0"/>
      <w:marTop w:val="0"/>
      <w:marBottom w:val="0"/>
      <w:divBdr>
        <w:top w:val="none" w:sz="0" w:space="0" w:color="auto"/>
        <w:left w:val="none" w:sz="0" w:space="0" w:color="auto"/>
        <w:bottom w:val="none" w:sz="0" w:space="0" w:color="auto"/>
        <w:right w:val="none" w:sz="0" w:space="0" w:color="auto"/>
      </w:divBdr>
    </w:div>
    <w:div w:id="865171481">
      <w:bodyDiv w:val="1"/>
      <w:marLeft w:val="0"/>
      <w:marRight w:val="0"/>
      <w:marTop w:val="0"/>
      <w:marBottom w:val="0"/>
      <w:divBdr>
        <w:top w:val="none" w:sz="0" w:space="0" w:color="auto"/>
        <w:left w:val="none" w:sz="0" w:space="0" w:color="auto"/>
        <w:bottom w:val="none" w:sz="0" w:space="0" w:color="auto"/>
        <w:right w:val="none" w:sz="0" w:space="0" w:color="auto"/>
      </w:divBdr>
    </w:div>
    <w:div w:id="1358116384">
      <w:bodyDiv w:val="1"/>
      <w:marLeft w:val="0"/>
      <w:marRight w:val="0"/>
      <w:marTop w:val="0"/>
      <w:marBottom w:val="0"/>
      <w:divBdr>
        <w:top w:val="none" w:sz="0" w:space="0" w:color="auto"/>
        <w:left w:val="none" w:sz="0" w:space="0" w:color="auto"/>
        <w:bottom w:val="none" w:sz="0" w:space="0" w:color="auto"/>
        <w:right w:val="none" w:sz="0" w:space="0" w:color="auto"/>
      </w:divBdr>
    </w:div>
    <w:div w:id="1396852342">
      <w:bodyDiv w:val="1"/>
      <w:marLeft w:val="0"/>
      <w:marRight w:val="0"/>
      <w:marTop w:val="0"/>
      <w:marBottom w:val="0"/>
      <w:divBdr>
        <w:top w:val="none" w:sz="0" w:space="0" w:color="auto"/>
        <w:left w:val="none" w:sz="0" w:space="0" w:color="auto"/>
        <w:bottom w:val="none" w:sz="0" w:space="0" w:color="auto"/>
        <w:right w:val="none" w:sz="0" w:space="0" w:color="auto"/>
      </w:divBdr>
    </w:div>
    <w:div w:id="1478257403">
      <w:bodyDiv w:val="1"/>
      <w:marLeft w:val="0"/>
      <w:marRight w:val="0"/>
      <w:marTop w:val="0"/>
      <w:marBottom w:val="0"/>
      <w:divBdr>
        <w:top w:val="none" w:sz="0" w:space="0" w:color="auto"/>
        <w:left w:val="none" w:sz="0" w:space="0" w:color="auto"/>
        <w:bottom w:val="none" w:sz="0" w:space="0" w:color="auto"/>
        <w:right w:val="none" w:sz="0" w:space="0" w:color="auto"/>
      </w:divBdr>
    </w:div>
    <w:div w:id="1912961641">
      <w:bodyDiv w:val="1"/>
      <w:marLeft w:val="0"/>
      <w:marRight w:val="0"/>
      <w:marTop w:val="0"/>
      <w:marBottom w:val="0"/>
      <w:divBdr>
        <w:top w:val="none" w:sz="0" w:space="0" w:color="auto"/>
        <w:left w:val="none" w:sz="0" w:space="0" w:color="auto"/>
        <w:bottom w:val="none" w:sz="0" w:space="0" w:color="auto"/>
        <w:right w:val="none" w:sz="0" w:space="0" w:color="auto"/>
      </w:divBdr>
    </w:div>
    <w:div w:id="205337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0B04D-133E-4190-BA07-EEF11BC9A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3404</Words>
  <Characters>20424</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opinie z RDOŚ, UM Gdynia do RPS EiŚ</vt:lpstr>
    </vt:vector>
  </TitlesOfParts>
  <Company>umwp</Company>
  <LinksUpToDate>false</LinksUpToDate>
  <CharactersWithSpaces>23781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opinie z RDOŚ, UM Gdynia do RPS EiŚ</dc:title>
  <dc:subject/>
  <dc:creator>Romanowska Martyna</dc:creator>
  <cp:keywords>prognoza;rekomendacje;RPS</cp:keywords>
  <dc:description/>
  <cp:lastModifiedBy>Romanowska Martyna</cp:lastModifiedBy>
  <cp:revision>5</cp:revision>
  <dcterms:created xsi:type="dcterms:W3CDTF">2021-07-28T08:34:00Z</dcterms:created>
  <dcterms:modified xsi:type="dcterms:W3CDTF">2021-07-28T12:47:00Z</dcterms:modified>
</cp:coreProperties>
</file>